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8692" w14:textId="25026D72" w:rsidR="00E83E7D" w:rsidRDefault="00E83E7D">
      <w:pPr>
        <w:jc w:val="both"/>
      </w:pPr>
    </w:p>
    <w:p w14:paraId="09E7741F" w14:textId="7A5EE31D" w:rsidR="00E83E7D" w:rsidRDefault="00000000">
      <w:pPr>
        <w:spacing w:before="120"/>
      </w:pPr>
      <w:r>
        <w:rPr>
          <w:rFonts w:ascii="Times New Roman" w:eastAsia="Times New Roman" w:hAnsi="Times New Roman" w:cs="Times New Roman"/>
          <w:b/>
          <w:sz w:val="20"/>
        </w:rPr>
        <w:t>Original research paper</w:t>
      </w:r>
      <w:r w:rsidR="00D403A9" w:rsidRPr="00D403A9">
        <w:rPr>
          <w:rStyle w:val="FootnoteReference"/>
          <w:rFonts w:ascii="Times New Roman" w:eastAsia="Times New Roman" w:hAnsi="Times New Roman" w:cs="Times New Roman"/>
          <w:b/>
          <w:sz w:val="20"/>
        </w:rPr>
        <w:footnoteReference w:customMarkFollows="1" w:id="1"/>
        <w:sym w:font="Symbol" w:char="F020"/>
      </w:r>
    </w:p>
    <w:p w14:paraId="37150E22" w14:textId="35861713" w:rsidR="00E83E7D" w:rsidRDefault="00000000">
      <w:pPr>
        <w:spacing w:before="480" w:after="120"/>
        <w:jc w:val="center"/>
      </w:pPr>
      <w:r>
        <w:rPr>
          <w:rFonts w:ascii="Times New Roman" w:eastAsia="Times New Roman" w:hAnsi="Times New Roman" w:cs="Times New Roman"/>
          <w:b/>
          <w:caps/>
          <w:sz w:val="24"/>
        </w:rPr>
        <w:t>challenges to HIGHER EDUCATION IN SERBIA</w:t>
      </w:r>
      <w:r w:rsidR="00D403A9">
        <w:rPr>
          <w:rFonts w:ascii="Times New Roman" w:eastAsia="Times New Roman" w:hAnsi="Times New Roman" w:cs="Times New Roman"/>
          <w:b/>
          <w:caps/>
          <w:sz w:val="24"/>
        </w:rPr>
        <w:br/>
      </w:r>
      <w:r>
        <w:rPr>
          <w:rFonts w:ascii="Times New Roman" w:eastAsia="Times New Roman" w:hAnsi="Times New Roman" w:cs="Times New Roman"/>
          <w:b/>
          <w:caps/>
          <w:sz w:val="24"/>
        </w:rPr>
        <w:t xml:space="preserve">A </w:t>
      </w:r>
      <w:r>
        <w:rPr>
          <w:rFonts w:ascii="Times New Roman" w:eastAsia="Times New Roman" w:hAnsi="Times New Roman" w:cs="Times New Roman"/>
          <w:b/>
          <w:sz w:val="24"/>
        </w:rPr>
        <w:t>contribution to the public debate on higher education reform</w:t>
      </w:r>
    </w:p>
    <w:p w14:paraId="3DCC0E69" w14:textId="77777777" w:rsidR="00E83E7D" w:rsidRDefault="00000000">
      <w:pPr>
        <w:spacing w:before="120" w:after="600"/>
        <w:jc w:val="center"/>
      </w:pPr>
      <w:r>
        <w:rPr>
          <w:rFonts w:ascii="Times New Roman" w:eastAsia="Times New Roman" w:hAnsi="Times New Roman" w:cs="Times New Roman"/>
          <w:i/>
          <w:sz w:val="24"/>
        </w:rPr>
        <w:t>UDC</w:t>
      </w:r>
    </w:p>
    <w:p w14:paraId="5851A6BD" w14:textId="77777777" w:rsidR="00E83E7D" w:rsidRDefault="00000000">
      <w:pPr>
        <w:spacing w:after="240"/>
        <w:jc w:val="center"/>
      </w:pPr>
      <w:r>
        <w:rPr>
          <w:rFonts w:ascii="Times New Roman" w:eastAsia="Times New Roman" w:hAnsi="Times New Roman" w:cs="Times New Roman"/>
          <w:b/>
          <w:sz w:val="24"/>
        </w:rPr>
        <w:t xml:space="preserve">Gorana Đorić </w:t>
      </w:r>
    </w:p>
    <w:p w14:paraId="4F767D45" w14:textId="77777777" w:rsidR="00E83E7D" w:rsidRDefault="00000000">
      <w:pPr>
        <w:spacing w:after="360"/>
        <w:jc w:val="center"/>
      </w:pPr>
      <w:r>
        <w:rPr>
          <w:rFonts w:ascii="Times New Roman" w:eastAsia="Times New Roman" w:hAnsi="Times New Roman" w:cs="Times New Roman"/>
          <w:sz w:val="20"/>
        </w:rPr>
        <w:t>Faculty of Philosophy, University of Niš</w:t>
      </w:r>
    </w:p>
    <w:p w14:paraId="0FB0AD64" w14:textId="77777777" w:rsidR="00E83E7D" w:rsidRDefault="00000000">
      <w:pPr>
        <w:spacing w:after="360"/>
        <w:jc w:val="center"/>
      </w:pPr>
      <w:r>
        <w:rPr>
          <w:rFonts w:ascii="Times New Roman" w:eastAsia="Times New Roman" w:hAnsi="Times New Roman" w:cs="Times New Roman"/>
          <w:sz w:val="20"/>
        </w:rPr>
        <w:t xml:space="preserve"> </w:t>
      </w:r>
    </w:p>
    <w:p w14:paraId="3096F1DA" w14:textId="77777777" w:rsidR="00E83E7D" w:rsidRDefault="00000000">
      <w:pPr>
        <w:ind w:left="425" w:right="425"/>
        <w:jc w:val="both"/>
      </w:pPr>
      <w:r>
        <w:rPr>
          <w:rFonts w:ascii="Times New Roman" w:eastAsia="Times New Roman" w:hAnsi="Times New Roman" w:cs="Times New Roman"/>
          <w:b/>
          <w:sz w:val="18"/>
        </w:rPr>
        <w:t>Abstract:</w:t>
      </w:r>
      <w:r>
        <w:rPr>
          <w:rFonts w:ascii="Times New Roman" w:eastAsia="Times New Roman" w:hAnsi="Times New Roman" w:cs="Times New Roman"/>
          <w:i/>
          <w:sz w:val="18"/>
        </w:rPr>
        <w:t xml:space="preserve"> Higher education, as an area of great public interest, is the subject of a series of state actions, laws and allocation of financial resources. Reform/s in the field of higher education assume that we have identified problems in higher education and that we have criteria based on which we will evaluate reform solutions and opt for the one/s that best meet those criteria. The intention of this text is to contribute to the identification and understanding of some of the problems that public policies in the field of higher education should address and to offer criteria for evaluating the proposed solutions. As the basic problems of higher education (in Serbia) we have identified - the enlargement of the student population and the demand for quality control arising from the need to standardize every "serial" production, the need to expand the coverage of underrepresented social groups, the need for financial and other support for underrepresented social groups, which arise from the combination of enlargement and inclusiveness of higher education, the increase in the diversity of the student population in terms of abilities, aspirations, motivation and value orientations, and the need for innovations in teaching methods in higher education, which results from this.</w:t>
      </w:r>
    </w:p>
    <w:p w14:paraId="29C9090B" w14:textId="77777777" w:rsidR="00E83E7D" w:rsidRDefault="00000000">
      <w:pPr>
        <w:spacing w:before="120"/>
        <w:ind w:left="425" w:right="425"/>
        <w:jc w:val="both"/>
      </w:pPr>
      <w:r>
        <w:rPr>
          <w:rFonts w:ascii="Times New Roman" w:eastAsia="Times New Roman" w:hAnsi="Times New Roman" w:cs="Times New Roman"/>
          <w:b/>
          <w:sz w:val="18"/>
        </w:rPr>
        <w:t>Keywords:</w:t>
      </w:r>
      <w:r>
        <w:rPr>
          <w:rFonts w:ascii="Times New Roman" w:eastAsia="Times New Roman" w:hAnsi="Times New Roman" w:cs="Times New Roman"/>
          <w:i/>
          <w:sz w:val="18"/>
        </w:rPr>
        <w:t xml:space="preserve"> public policies, reform, higher education, inclusive higher education, quality control of higher education, evaluation.</w:t>
      </w:r>
    </w:p>
    <w:p w14:paraId="206CC476" w14:textId="77777777" w:rsidR="00E83E7D" w:rsidRDefault="00000000" w:rsidP="00D403A9">
      <w:pPr>
        <w:keepNext/>
        <w:keepLines/>
        <w:widowControl/>
        <w:spacing w:before="480" w:after="120"/>
        <w:jc w:val="center"/>
      </w:pPr>
      <w:r>
        <w:rPr>
          <w:rFonts w:ascii="Times New Roman" w:eastAsia="Times New Roman" w:hAnsi="Times New Roman" w:cs="Times New Roman"/>
          <w:smallCaps/>
          <w:sz w:val="20"/>
        </w:rPr>
        <w:lastRenderedPageBreak/>
        <w:t>1. INTRODUCTORY CONSIDERATION</w:t>
      </w:r>
    </w:p>
    <w:p w14:paraId="07B9B810" w14:textId="77777777" w:rsidR="00E83E7D" w:rsidRDefault="00000000" w:rsidP="00D403A9">
      <w:pPr>
        <w:keepLines/>
        <w:ind w:firstLine="284"/>
        <w:jc w:val="both"/>
      </w:pPr>
      <w:r>
        <w:rPr>
          <w:rFonts w:ascii="Times New Roman" w:eastAsia="Times New Roman" w:hAnsi="Times New Roman" w:cs="Times New Roman"/>
          <w:sz w:val="20"/>
        </w:rPr>
        <w:t>Reforms of education in general and higher education in particular in Serbia are a continuous process that is periodically updated in its various focuses and topics. Higher education, as an area of great public interest, is in this process the subject of various public policies - a series of state actions, regulatory measures, laws and allocation of financial resources. Creation and reforms of public policies imply at least two things: 1) identification and formulation of problems for which public policies are the solution and 2) analysis and evaluation of alternative solutions based on previously established criteria. Reform/s in the field of higher education assume that we have identified problems in higher education and that we have criteria based on which we will evaluate reform solutions and opt for the one/s that best meet those criteria. The intention of this text is to contribute to the identification and understanding of some of the problems that public policies in the field of higher education should address and to offer criteria for evaluating the proposed solutions.</w:t>
      </w:r>
    </w:p>
    <w:p w14:paraId="7AD70571" w14:textId="77777777" w:rsidR="00E83E7D" w:rsidRDefault="00E83E7D">
      <w:pPr>
        <w:ind w:firstLine="284"/>
        <w:jc w:val="both"/>
      </w:pPr>
    </w:p>
    <w:p w14:paraId="25F8B2C5" w14:textId="77777777" w:rsidR="00E83E7D" w:rsidRDefault="00000000">
      <w:pPr>
        <w:ind w:firstLine="284"/>
        <w:jc w:val="both"/>
      </w:pPr>
      <w:r>
        <w:rPr>
          <w:rFonts w:ascii="Times New Roman" w:eastAsia="Times New Roman" w:hAnsi="Times New Roman" w:cs="Times New Roman"/>
          <w:sz w:val="20"/>
        </w:rPr>
        <w:t xml:space="preserve">That the debates about the problems of higher education in Serbia are constantly current is illustrated by a short excerpt from a recent interview with the rector of Belgrade University, for the newspaper </w:t>
      </w:r>
      <w:r>
        <w:rPr>
          <w:rFonts w:ascii="Times New Roman" w:eastAsia="Times New Roman" w:hAnsi="Times New Roman" w:cs="Times New Roman"/>
          <w:i/>
          <w:sz w:val="20"/>
        </w:rPr>
        <w:t>Politika</w:t>
      </w:r>
      <w:r>
        <w:rPr>
          <w:rFonts w:ascii="Times New Roman" w:eastAsia="Times New Roman" w:hAnsi="Times New Roman" w:cs="Times New Roman"/>
          <w:sz w:val="20"/>
        </w:rPr>
        <w:t>, in which he identifies the main problems of higher education in Serbia as he sees them. According to professor Vladan Đokić, Ph.D.,</w:t>
      </w:r>
    </w:p>
    <w:p w14:paraId="50EEE6A3" w14:textId="77777777" w:rsidR="00E83E7D" w:rsidRDefault="00E83E7D">
      <w:pPr>
        <w:ind w:firstLine="284"/>
        <w:jc w:val="both"/>
      </w:pPr>
    </w:p>
    <w:p w14:paraId="7812E875" w14:textId="77777777" w:rsidR="00E83E7D" w:rsidRDefault="00000000">
      <w:pPr>
        <w:ind w:left="567" w:right="567"/>
        <w:jc w:val="both"/>
      </w:pPr>
      <w:r>
        <w:rPr>
          <w:rFonts w:ascii="Times New Roman" w:eastAsia="Times New Roman" w:hAnsi="Times New Roman" w:cs="Times New Roman"/>
          <w:sz w:val="18"/>
        </w:rPr>
        <w:t xml:space="preserve">"Today, universities in the world are faced with the challenges posed by the market: to be financially self-sustaining and market-driven. This is particularly demanding for universities funded by the public sector, such as ours, and </w:t>
      </w:r>
      <w:r>
        <w:rPr>
          <w:rFonts w:ascii="Times New Roman" w:eastAsia="Times New Roman" w:hAnsi="Times New Roman" w:cs="Times New Roman"/>
          <w:i/>
          <w:sz w:val="18"/>
        </w:rPr>
        <w:t>the role they play in providing access to an ever-increasing number of students</w:t>
      </w:r>
      <w:r>
        <w:rPr>
          <w:rFonts w:ascii="Times New Roman" w:eastAsia="Times New Roman" w:hAnsi="Times New Roman" w:cs="Times New Roman"/>
          <w:sz w:val="18"/>
        </w:rPr>
        <w:t xml:space="preserve">... Such changed </w:t>
      </w:r>
      <w:r>
        <w:rPr>
          <w:rFonts w:ascii="Times New Roman" w:eastAsia="Times New Roman" w:hAnsi="Times New Roman" w:cs="Times New Roman"/>
          <w:i/>
          <w:sz w:val="18"/>
        </w:rPr>
        <w:t>circumstances imply a re-examination of the basic functions, roles and purpose of universities</w:t>
      </w:r>
      <w:r>
        <w:rPr>
          <w:rFonts w:ascii="Times New Roman" w:eastAsia="Times New Roman" w:hAnsi="Times New Roman" w:cs="Times New Roman"/>
          <w:sz w:val="18"/>
        </w:rPr>
        <w:t xml:space="preserve">, which we should be especially careful and dedicated to working within it and together with other holders of the educational process at all levels.... State universities in Serbia have been facing the problem of a </w:t>
      </w:r>
      <w:r>
        <w:rPr>
          <w:rFonts w:ascii="Times New Roman" w:eastAsia="Times New Roman" w:hAnsi="Times New Roman" w:cs="Times New Roman"/>
          <w:i/>
          <w:sz w:val="18"/>
        </w:rPr>
        <w:t>systemically disordered way of financing higher education for a long time, which is reflected in the inconsistencies and contradictions of numerous laws and regulations that regulate financing of higher education institutions. ...The inadequate position of teachers in society and the questionable quality of secondary education have led to a drastic decrease in interest in teacher study programs at colleges</w:t>
      </w:r>
      <w:r>
        <w:rPr>
          <w:rFonts w:ascii="Times New Roman" w:eastAsia="Times New Roman" w:hAnsi="Times New Roman" w:cs="Times New Roman"/>
          <w:sz w:val="18"/>
        </w:rPr>
        <w:t xml:space="preserve">. This problem can cause far-reaching consequences for our society... (italics G.Đ.)" – professor Vladan Đokić, Ph.D., rector of UBG, </w:t>
      </w:r>
      <w:r>
        <w:rPr>
          <w:rFonts w:ascii="Times New Roman" w:eastAsia="Times New Roman" w:hAnsi="Times New Roman" w:cs="Times New Roman"/>
          <w:i/>
          <w:sz w:val="18"/>
        </w:rPr>
        <w:t>Politika</w:t>
      </w:r>
      <w:r>
        <w:rPr>
          <w:rFonts w:ascii="Times New Roman" w:eastAsia="Times New Roman" w:hAnsi="Times New Roman" w:cs="Times New Roman"/>
          <w:sz w:val="18"/>
        </w:rPr>
        <w:t>, September 16, 2023.</w:t>
      </w:r>
    </w:p>
    <w:p w14:paraId="086CCA44" w14:textId="77777777" w:rsidR="00E83E7D" w:rsidRDefault="00E83E7D">
      <w:pPr>
        <w:ind w:firstLine="284"/>
        <w:jc w:val="both"/>
      </w:pPr>
    </w:p>
    <w:p w14:paraId="50984C9F" w14:textId="77777777" w:rsidR="00E83E7D" w:rsidRPr="00D403A9" w:rsidRDefault="00000000">
      <w:pPr>
        <w:jc w:val="both"/>
        <w:rPr>
          <w:spacing w:val="-2"/>
        </w:rPr>
      </w:pPr>
      <w:r w:rsidRPr="00D403A9">
        <w:rPr>
          <w:rFonts w:ascii="Times New Roman" w:eastAsia="Times New Roman" w:hAnsi="Times New Roman" w:cs="Times New Roman"/>
          <w:spacing w:val="-2"/>
          <w:sz w:val="20"/>
        </w:rPr>
        <w:t xml:space="preserve">      One of the theses that we advocate in this paper is that the role of the modern university, as well as the way of its organization, financing and content of the educational process, has been changed and shaped as a </w:t>
      </w:r>
      <w:r w:rsidRPr="00D403A9">
        <w:rPr>
          <w:rFonts w:ascii="Times New Roman" w:eastAsia="Times New Roman" w:hAnsi="Times New Roman" w:cs="Times New Roman"/>
          <w:i/>
          <w:spacing w:val="-2"/>
          <w:sz w:val="20"/>
        </w:rPr>
        <w:t>reaction to the massification of higher education</w:t>
      </w:r>
      <w:r w:rsidRPr="00D403A9">
        <w:rPr>
          <w:rFonts w:ascii="Times New Roman" w:eastAsia="Times New Roman" w:hAnsi="Times New Roman" w:cs="Times New Roman"/>
          <w:spacing w:val="-2"/>
          <w:sz w:val="20"/>
        </w:rPr>
        <w:t xml:space="preserve">. So, the system of higher education in modern Serbia is (first of all) a system of institutions that provide access to an increasing number of students and within which higher education certificates are obtained en masse. Therefore, one of the main problems for which public policies in the field of higher education should find a </w:t>
      </w:r>
      <w:r w:rsidRPr="00D403A9">
        <w:rPr>
          <w:rFonts w:ascii="Times New Roman" w:eastAsia="Times New Roman" w:hAnsi="Times New Roman" w:cs="Times New Roman"/>
          <w:i/>
          <w:spacing w:val="-2"/>
          <w:sz w:val="20"/>
        </w:rPr>
        <w:t>solution is the organization (and financing) of mass higher education</w:t>
      </w:r>
      <w:r w:rsidRPr="00D403A9">
        <w:rPr>
          <w:rFonts w:ascii="Times New Roman" w:eastAsia="Times New Roman" w:hAnsi="Times New Roman" w:cs="Times New Roman"/>
          <w:spacing w:val="-2"/>
          <w:sz w:val="20"/>
        </w:rPr>
        <w:t>. Mass higher education in its turn  calls for a solution of at least to more  problems: the widening of access to education, ie proportional representation of all social groups in higher education; the requirement for quality control of the results of the educational process, which takes on the characteristics of "serial production".</w:t>
      </w:r>
    </w:p>
    <w:p w14:paraId="7DC05942" w14:textId="77777777" w:rsidR="00E83E7D" w:rsidRDefault="00E83E7D">
      <w:pPr>
        <w:jc w:val="both"/>
      </w:pPr>
    </w:p>
    <w:p w14:paraId="572D2F96" w14:textId="77777777" w:rsidR="00E83E7D" w:rsidRDefault="00000000">
      <w:pPr>
        <w:spacing w:before="480" w:after="120"/>
        <w:jc w:val="center"/>
      </w:pPr>
      <w:r>
        <w:rPr>
          <w:rFonts w:ascii="Times New Roman" w:eastAsia="Times New Roman" w:hAnsi="Times New Roman" w:cs="Times New Roman"/>
          <w:smallCaps/>
          <w:sz w:val="20"/>
        </w:rPr>
        <w:t>2. HIGHER EDUCATION FOR AN INCREASING NUMBER OF STUDENTS</w:t>
      </w:r>
    </w:p>
    <w:p w14:paraId="7B877C02" w14:textId="77777777" w:rsidR="00E83E7D" w:rsidRDefault="00000000">
      <w:pPr>
        <w:jc w:val="both"/>
      </w:pPr>
      <w:r>
        <w:rPr>
          <w:rFonts w:ascii="Times New Roman" w:eastAsia="Times New Roman" w:hAnsi="Times New Roman" w:cs="Times New Roman"/>
          <w:sz w:val="20"/>
        </w:rPr>
        <w:t xml:space="preserve">      </w:t>
      </w:r>
    </w:p>
    <w:p w14:paraId="17AD55DC" w14:textId="77777777" w:rsidR="00E83E7D" w:rsidRDefault="00000000">
      <w:pPr>
        <w:jc w:val="both"/>
      </w:pPr>
      <w:r>
        <w:rPr>
          <w:rFonts w:ascii="Times New Roman" w:eastAsia="Times New Roman" w:hAnsi="Times New Roman" w:cs="Times New Roman"/>
          <w:sz w:val="20"/>
        </w:rPr>
        <w:t xml:space="preserve">       The massification of higher education is not accidental, but necessary in certain social circumstances, so it cannot be "disabled", "abolished" or simply neglected as a determining factor in the organization and content of modern higher education. We have described the social circumstances that necessarily led to the massification of higher education elsewhere (Popović, Đorić, 2011, p. 310). Here we will only remind you of some basic processes.</w:t>
      </w:r>
    </w:p>
    <w:p w14:paraId="6FC39995" w14:textId="77777777" w:rsidR="00E83E7D" w:rsidRDefault="00000000">
      <w:pPr>
        <w:jc w:val="both"/>
      </w:pPr>
      <w:r>
        <w:rPr>
          <w:rFonts w:ascii="Times New Roman" w:eastAsia="Times New Roman" w:hAnsi="Times New Roman" w:cs="Times New Roman"/>
          <w:sz w:val="20"/>
        </w:rPr>
        <w:t xml:space="preserve">        In the second half of the 20th century, the full status of a citizen meant not only the already won equality of citizens before the law, and the right to political participation through universal suffrage, but also full access to all social resources. Mass access to education (at all levels), as one of the basic channels of social mobility, i.e. access to all social positions, is becoming the need of the hour. In the economic sphere - the number of jobs that require expertise that cannot be acquired through experience, but only through formal higher education, is increasing. These jobs are part of the division of labor into detailed operations through which it is possible to base technological processes in industry on scientific knowledge. The development of industry whose technology is based on scientific knowledge results in the </w:t>
      </w:r>
      <w:r>
        <w:rPr>
          <w:rFonts w:ascii="Times New Roman" w:eastAsia="Times New Roman" w:hAnsi="Times New Roman" w:cs="Times New Roman"/>
          <w:i/>
          <w:sz w:val="20"/>
        </w:rPr>
        <w:t>emergence of scientific and engineering professions</w:t>
      </w:r>
      <w:r>
        <w:rPr>
          <w:rFonts w:ascii="Times New Roman" w:eastAsia="Times New Roman" w:hAnsi="Times New Roman" w:cs="Times New Roman"/>
          <w:sz w:val="20"/>
        </w:rPr>
        <w:t xml:space="preserve">. An army of modern researchers is being put at the service of business and, with the strengthening of the military complex, military industry. Combining the results of the work of teams of highly specialized experts requires elaborate coordination and organization. This leads to an increase in the number of </w:t>
      </w:r>
      <w:r>
        <w:rPr>
          <w:rFonts w:ascii="Times New Roman" w:eastAsia="Times New Roman" w:hAnsi="Times New Roman" w:cs="Times New Roman"/>
          <w:i/>
          <w:sz w:val="20"/>
        </w:rPr>
        <w:t>managers and financial and legal professionals</w:t>
      </w:r>
      <w:r>
        <w:rPr>
          <w:rFonts w:ascii="Times New Roman" w:eastAsia="Times New Roman" w:hAnsi="Times New Roman" w:cs="Times New Roman"/>
          <w:sz w:val="20"/>
        </w:rPr>
        <w:t xml:space="preserve">. The complication of state affairs and the development of a bureaucratized management apparatus at the state and local level results in greater employment of </w:t>
      </w:r>
      <w:r>
        <w:rPr>
          <w:rFonts w:ascii="Times New Roman" w:eastAsia="Times New Roman" w:hAnsi="Times New Roman" w:cs="Times New Roman"/>
          <w:i/>
          <w:sz w:val="20"/>
        </w:rPr>
        <w:t>experts in the state administration</w:t>
      </w:r>
      <w:r>
        <w:rPr>
          <w:rFonts w:ascii="Times New Roman" w:eastAsia="Times New Roman" w:hAnsi="Times New Roman" w:cs="Times New Roman"/>
          <w:sz w:val="20"/>
        </w:rPr>
        <w:t xml:space="preserve">. Finally, general education, health care for broad sections of the population, and the growth of the welfare state in general, after World War II, led to the emergence of a series of "social professions" which, in turn, led to an increase in the number of </w:t>
      </w:r>
      <w:r>
        <w:rPr>
          <w:rFonts w:ascii="Times New Roman" w:eastAsia="Times New Roman" w:hAnsi="Times New Roman" w:cs="Times New Roman"/>
          <w:i/>
          <w:sz w:val="20"/>
        </w:rPr>
        <w:t>employed experts in medicine and education and administrators and providers of social protection services</w:t>
      </w:r>
      <w:r>
        <w:rPr>
          <w:rFonts w:ascii="Times New Roman" w:eastAsia="Times New Roman" w:hAnsi="Times New Roman" w:cs="Times New Roman"/>
          <w:sz w:val="20"/>
        </w:rPr>
        <w:t>.</w:t>
      </w:r>
    </w:p>
    <w:p w14:paraId="3DE7DFF7" w14:textId="77777777" w:rsidR="00E83E7D" w:rsidRDefault="00000000">
      <w:pPr>
        <w:jc w:val="both"/>
      </w:pPr>
      <w:r>
        <w:rPr>
          <w:rFonts w:ascii="Times New Roman" w:eastAsia="Times New Roman" w:hAnsi="Times New Roman" w:cs="Times New Roman"/>
          <w:sz w:val="20"/>
        </w:rPr>
        <w:t xml:space="preserve">       Modern education, in the circumstances we have described, has a clear social function to, among other things, train broad layers of the population to efficiently and competently perform various jobs necessary for the functioning of society in various segments, in accordance with their area of expertise. Modern universities increasingly assume the function of professional training of such personnel.</w:t>
      </w:r>
    </w:p>
    <w:p w14:paraId="0387E3DF" w14:textId="77777777" w:rsidR="00E83E7D" w:rsidRDefault="00000000">
      <w:pPr>
        <w:jc w:val="both"/>
      </w:pPr>
      <w:r>
        <w:rPr>
          <w:rFonts w:ascii="Times New Roman" w:eastAsia="Times New Roman" w:hAnsi="Times New Roman" w:cs="Times New Roman"/>
          <w:sz w:val="20"/>
        </w:rPr>
        <w:t xml:space="preserve">       There is no doubt that the massification of higher education has also occurred in Serbia and that the organization of the mass production of experts is a problem of higher education reform. Many changes that mean modernity and that require modern education have already taken place in Serbia (industrialization, urbanization, introduction of modern technologies, openness to the world and new technologies, etc.). These changes require a highly educated population and require a system capable of educating that population. With the branching of knowledge, the formation of new scientific disciplines, the creation of new professions, the system of higher education is increasingly multiplied and complicated, increasing the number of students at a high speed. This is one of the tendencies in which Serbia does not lag behind the European environment.</w:t>
      </w:r>
    </w:p>
    <w:p w14:paraId="0F3D8D06" w14:textId="77777777" w:rsidR="00E83E7D" w:rsidRDefault="00E83E7D">
      <w:pPr>
        <w:jc w:val="both"/>
      </w:pPr>
    </w:p>
    <w:p w14:paraId="4757DCB2" w14:textId="77777777" w:rsidR="00E83E7D" w:rsidRDefault="00000000">
      <w:pPr>
        <w:jc w:val="center"/>
      </w:pPr>
      <w:r>
        <w:rPr>
          <w:rFonts w:ascii="Times New Roman" w:eastAsia="Times New Roman" w:hAnsi="Times New Roman" w:cs="Times New Roman"/>
          <w:b/>
          <w:sz w:val="20"/>
        </w:rPr>
        <w:t xml:space="preserve">Table 1 </w:t>
      </w:r>
      <w:r>
        <w:rPr>
          <w:rFonts w:ascii="Times New Roman" w:eastAsia="Times New Roman" w:hAnsi="Times New Roman" w:cs="Times New Roman"/>
          <w:sz w:val="20"/>
        </w:rPr>
        <w:t>Share of undergraduate students in the population of Serbia aged 20-24, %</w:t>
      </w:r>
    </w:p>
    <w:tbl>
      <w:tblPr>
        <w:tblW w:w="6752" w:type="dxa"/>
        <w:jc w:val="center"/>
        <w:tblLayout w:type="fixed"/>
        <w:tblCellMar>
          <w:left w:w="10" w:type="dxa"/>
          <w:right w:w="10" w:type="dxa"/>
        </w:tblCellMar>
        <w:tblLook w:val="0000" w:firstRow="0" w:lastRow="0" w:firstColumn="0" w:lastColumn="0" w:noHBand="0" w:noVBand="0"/>
      </w:tblPr>
      <w:tblGrid>
        <w:gridCol w:w="1239"/>
        <w:gridCol w:w="694"/>
        <w:gridCol w:w="686"/>
        <w:gridCol w:w="590"/>
        <w:gridCol w:w="708"/>
        <w:gridCol w:w="709"/>
        <w:gridCol w:w="709"/>
        <w:gridCol w:w="709"/>
        <w:gridCol w:w="708"/>
      </w:tblGrid>
      <w:tr w:rsidR="00E83E7D" w14:paraId="2D3EC091" w14:textId="77777777">
        <w:tblPrEx>
          <w:tblCellMar>
            <w:top w:w="0" w:type="dxa"/>
            <w:bottom w:w="0" w:type="dxa"/>
          </w:tblCellMar>
        </w:tblPrEx>
        <w:trPr>
          <w:trHeight w:val="358"/>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A7760" w14:textId="77777777" w:rsidR="00E83E7D" w:rsidRDefault="00E83E7D">
            <w:pPr>
              <w:jc w:val="both"/>
            </w:pPr>
          </w:p>
        </w:tc>
        <w:tc>
          <w:tcPr>
            <w:tcW w:w="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826821" w14:textId="77777777" w:rsidR="00E83E7D" w:rsidRDefault="00000000">
            <w:pPr>
              <w:jc w:val="center"/>
            </w:pPr>
            <w:r>
              <w:rPr>
                <w:rFonts w:ascii="Times New Roman" w:eastAsia="Times New Roman" w:hAnsi="Times New Roman" w:cs="Times New Roman"/>
                <w:sz w:val="18"/>
              </w:rPr>
              <w:t>2007</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1940E" w14:textId="77777777" w:rsidR="00E83E7D" w:rsidRDefault="00000000">
            <w:pPr>
              <w:jc w:val="center"/>
            </w:pPr>
            <w:r>
              <w:rPr>
                <w:rFonts w:ascii="Times New Roman" w:eastAsia="Times New Roman" w:hAnsi="Times New Roman" w:cs="Times New Roman"/>
                <w:sz w:val="18"/>
              </w:rPr>
              <w:t>2015</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F99D4D" w14:textId="77777777" w:rsidR="00E83E7D" w:rsidRDefault="00000000">
            <w:pPr>
              <w:jc w:val="center"/>
            </w:pPr>
            <w:r>
              <w:rPr>
                <w:rFonts w:ascii="Times New Roman" w:eastAsia="Times New Roman" w:hAnsi="Times New Roman" w:cs="Times New Roman"/>
                <w:sz w:val="18"/>
              </w:rPr>
              <w:t>2016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146000" w14:textId="77777777" w:rsidR="00E83E7D" w:rsidRDefault="00000000">
            <w:pPr>
              <w:jc w:val="center"/>
            </w:pPr>
            <w:r>
              <w:rPr>
                <w:rFonts w:ascii="Times New Roman" w:eastAsia="Times New Roman" w:hAnsi="Times New Roman" w:cs="Times New Roman"/>
                <w:sz w:val="18"/>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3AF59" w14:textId="77777777" w:rsidR="00E83E7D" w:rsidRDefault="00000000">
            <w:pPr>
              <w:jc w:val="center"/>
            </w:pPr>
            <w:r>
              <w:rPr>
                <w:rFonts w:ascii="Times New Roman" w:eastAsia="Times New Roman" w:hAnsi="Times New Roman" w:cs="Times New Roman"/>
                <w:sz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5AD0E2" w14:textId="77777777" w:rsidR="00E83E7D" w:rsidRDefault="00000000">
            <w:pPr>
              <w:jc w:val="center"/>
            </w:pPr>
            <w:r>
              <w:rPr>
                <w:rFonts w:ascii="Times New Roman" w:eastAsia="Times New Roman" w:hAnsi="Times New Roman" w:cs="Times New Roman"/>
                <w:sz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C48FD" w14:textId="77777777" w:rsidR="00E83E7D" w:rsidRDefault="00000000">
            <w:pPr>
              <w:jc w:val="center"/>
            </w:pPr>
            <w:r>
              <w:rPr>
                <w:rFonts w:ascii="Times New Roman" w:eastAsia="Times New Roman" w:hAnsi="Times New Roman" w:cs="Times New Roman"/>
                <w:sz w:val="18"/>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58F869" w14:textId="77777777" w:rsidR="00E83E7D" w:rsidRDefault="00000000">
            <w:pPr>
              <w:jc w:val="center"/>
            </w:pPr>
            <w:r>
              <w:rPr>
                <w:rFonts w:ascii="Times New Roman" w:eastAsia="Times New Roman" w:hAnsi="Times New Roman" w:cs="Times New Roman"/>
                <w:sz w:val="18"/>
              </w:rPr>
              <w:t>2021</w:t>
            </w:r>
          </w:p>
        </w:tc>
      </w:tr>
      <w:tr w:rsidR="00E83E7D" w14:paraId="55DFF497" w14:textId="77777777">
        <w:tblPrEx>
          <w:tblCellMar>
            <w:top w:w="0" w:type="dxa"/>
            <w:bottom w:w="0" w:type="dxa"/>
          </w:tblCellMar>
        </w:tblPrEx>
        <w:trPr>
          <w:trHeight w:val="245"/>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6E4E25" w14:textId="77777777" w:rsidR="00E83E7D" w:rsidRDefault="00000000">
            <w:pPr>
              <w:jc w:val="both"/>
            </w:pPr>
            <w:r>
              <w:rPr>
                <w:rFonts w:ascii="Times New Roman" w:eastAsia="Times New Roman" w:hAnsi="Times New Roman" w:cs="Times New Roman"/>
                <w:sz w:val="18"/>
              </w:rPr>
              <w:t>Serbia</w:t>
            </w:r>
          </w:p>
        </w:tc>
        <w:tc>
          <w:tcPr>
            <w:tcW w:w="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B8C89E" w14:textId="77777777" w:rsidR="00E83E7D" w:rsidRDefault="00000000">
            <w:pPr>
              <w:jc w:val="center"/>
            </w:pPr>
            <w:r>
              <w:rPr>
                <w:rFonts w:ascii="Times New Roman" w:eastAsia="Times New Roman" w:hAnsi="Times New Roman" w:cs="Times New Roman"/>
                <w:sz w:val="18"/>
              </w:rPr>
              <w:t>29</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F533D0" w14:textId="77777777" w:rsidR="00E83E7D" w:rsidRDefault="00000000">
            <w:pPr>
              <w:jc w:val="center"/>
            </w:pPr>
            <w:r>
              <w:rPr>
                <w:rFonts w:ascii="Times New Roman" w:eastAsia="Times New Roman" w:hAnsi="Times New Roman" w:cs="Times New Roman"/>
                <w:sz w:val="18"/>
              </w:rPr>
              <w:t>35</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160F2" w14:textId="77777777" w:rsidR="00E83E7D" w:rsidRDefault="00000000">
            <w:pPr>
              <w:jc w:val="center"/>
            </w:pPr>
            <w:r>
              <w:rPr>
                <w:rFonts w:ascii="Times New Roman" w:eastAsia="Times New Roman" w:hAnsi="Times New Roman" w:cs="Times New Roman"/>
                <w:sz w:val="18"/>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80E81A" w14:textId="77777777" w:rsidR="00E83E7D" w:rsidRDefault="00000000">
            <w:pPr>
              <w:jc w:val="center"/>
            </w:pPr>
            <w:r>
              <w:rPr>
                <w:rFonts w:ascii="Times New Roman" w:eastAsia="Times New Roman" w:hAnsi="Times New Roman" w:cs="Times New Roman"/>
                <w:sz w:val="18"/>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4EC28" w14:textId="77777777" w:rsidR="00E83E7D" w:rsidRDefault="00000000">
            <w:pPr>
              <w:jc w:val="center"/>
            </w:pPr>
            <w:r>
              <w:rPr>
                <w:rFonts w:ascii="Times New Roman" w:eastAsia="Times New Roman" w:hAnsi="Times New Roman" w:cs="Times New Roman"/>
                <w:sz w:val="18"/>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F4BC01" w14:textId="77777777" w:rsidR="00E83E7D" w:rsidRDefault="00000000">
            <w:pPr>
              <w:jc w:val="center"/>
            </w:pPr>
            <w:r>
              <w:rPr>
                <w:rFonts w:ascii="Times New Roman" w:eastAsia="Times New Roman" w:hAnsi="Times New Roman" w:cs="Times New Roman"/>
                <w:sz w:val="18"/>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DD6DC5" w14:textId="77777777" w:rsidR="00E83E7D" w:rsidRDefault="00000000">
            <w:pPr>
              <w:jc w:val="center"/>
            </w:pPr>
            <w:r>
              <w:rPr>
                <w:rFonts w:ascii="Times New Roman" w:eastAsia="Times New Roman" w:hAnsi="Times New Roman" w:cs="Times New Roman"/>
                <w:sz w:val="18"/>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C8FEB3" w14:textId="77777777" w:rsidR="00E83E7D" w:rsidRDefault="00000000">
            <w:pPr>
              <w:jc w:val="center"/>
            </w:pPr>
            <w:r>
              <w:rPr>
                <w:rFonts w:ascii="Times New Roman" w:eastAsia="Times New Roman" w:hAnsi="Times New Roman" w:cs="Times New Roman"/>
                <w:sz w:val="18"/>
              </w:rPr>
              <w:t>37</w:t>
            </w:r>
          </w:p>
        </w:tc>
      </w:tr>
      <w:tr w:rsidR="00E83E7D" w14:paraId="1473A109" w14:textId="77777777">
        <w:tblPrEx>
          <w:tblCellMar>
            <w:top w:w="0" w:type="dxa"/>
            <w:bottom w:w="0" w:type="dxa"/>
          </w:tblCellMar>
        </w:tblPrEx>
        <w:trPr>
          <w:trHeight w:val="277"/>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B71D59" w14:textId="77777777" w:rsidR="00E83E7D" w:rsidRDefault="00000000">
            <w:pPr>
              <w:jc w:val="both"/>
            </w:pPr>
            <w:r>
              <w:rPr>
                <w:rFonts w:ascii="Times New Roman" w:eastAsia="Times New Roman" w:hAnsi="Times New Roman" w:cs="Times New Roman"/>
                <w:sz w:val="18"/>
              </w:rPr>
              <w:t>EU average</w:t>
            </w:r>
          </w:p>
        </w:tc>
        <w:tc>
          <w:tcPr>
            <w:tcW w:w="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EDA6AB" w14:textId="77777777" w:rsidR="00E83E7D" w:rsidRDefault="00E83E7D">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1F9E99" w14:textId="77777777" w:rsidR="00E83E7D" w:rsidRDefault="00000000">
            <w:pPr>
              <w:jc w:val="center"/>
            </w:pPr>
            <w:r>
              <w:rPr>
                <w:rFonts w:ascii="Times New Roman" w:eastAsia="Times New Roman" w:hAnsi="Times New Roman" w:cs="Times New Roman"/>
                <w:sz w:val="18"/>
              </w:rPr>
              <w:t>34</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14416E" w14:textId="77777777" w:rsidR="00E83E7D" w:rsidRDefault="00000000">
            <w:pPr>
              <w:jc w:val="center"/>
            </w:pPr>
            <w:r>
              <w:rPr>
                <w:rFonts w:ascii="Times New Roman" w:eastAsia="Times New Roman" w:hAnsi="Times New Roman" w:cs="Times New Roman"/>
                <w:sz w:val="18"/>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1ED760" w14:textId="77777777" w:rsidR="00E83E7D" w:rsidRDefault="00000000">
            <w:pPr>
              <w:jc w:val="center"/>
            </w:pPr>
            <w:r>
              <w:rPr>
                <w:rFonts w:ascii="Times New Roman" w:eastAsia="Times New Roman" w:hAnsi="Times New Roman" w:cs="Times New Roman"/>
                <w:sz w:val="18"/>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9637B" w14:textId="77777777" w:rsidR="00E83E7D" w:rsidRDefault="00000000">
            <w:pPr>
              <w:jc w:val="center"/>
            </w:pPr>
            <w:r>
              <w:rPr>
                <w:rFonts w:ascii="Times New Roman" w:eastAsia="Times New Roman" w:hAnsi="Times New Roman" w:cs="Times New Roman"/>
                <w:sz w:val="1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AA24D9" w14:textId="77777777" w:rsidR="00E83E7D" w:rsidRDefault="00000000">
            <w:pPr>
              <w:jc w:val="center"/>
            </w:pPr>
            <w:r>
              <w:rPr>
                <w:rFonts w:ascii="Times New Roman" w:eastAsia="Times New Roman" w:hAnsi="Times New Roman" w:cs="Times New Roman"/>
                <w:sz w:val="1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547764" w14:textId="77777777" w:rsidR="00E83E7D" w:rsidRDefault="00000000">
            <w:pPr>
              <w:jc w:val="center"/>
            </w:pPr>
            <w:r>
              <w:rPr>
                <w:rFonts w:ascii="Times New Roman" w:eastAsia="Times New Roman" w:hAnsi="Times New Roman" w:cs="Times New Roman"/>
                <w:sz w:val="18"/>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751A02" w14:textId="77777777" w:rsidR="00E83E7D" w:rsidRDefault="00000000">
            <w:pPr>
              <w:jc w:val="center"/>
            </w:pPr>
            <w:r>
              <w:rPr>
                <w:rFonts w:ascii="Times New Roman" w:eastAsia="Times New Roman" w:hAnsi="Times New Roman" w:cs="Times New Roman"/>
                <w:sz w:val="18"/>
              </w:rPr>
              <w:t>36</w:t>
            </w:r>
          </w:p>
        </w:tc>
      </w:tr>
    </w:tbl>
    <w:p w14:paraId="32F595BC" w14:textId="77777777" w:rsidR="00E83E7D" w:rsidRDefault="00000000">
      <w:pPr>
        <w:jc w:val="center"/>
      </w:pPr>
      <w:r>
        <w:rPr>
          <w:rFonts w:ascii="Times New Roman" w:eastAsia="Times New Roman" w:hAnsi="Times New Roman" w:cs="Times New Roman"/>
          <w:sz w:val="16"/>
        </w:rPr>
        <w:t>Source: Eurostat.</w:t>
      </w:r>
    </w:p>
    <w:p w14:paraId="127E215F" w14:textId="77777777" w:rsidR="00E83E7D" w:rsidRDefault="00E83E7D">
      <w:pPr>
        <w:jc w:val="both"/>
      </w:pPr>
    </w:p>
    <w:p w14:paraId="0BD2E559" w14:textId="77777777" w:rsidR="00E83E7D" w:rsidRDefault="00000000">
      <w:pPr>
        <w:jc w:val="both"/>
      </w:pPr>
      <w:r>
        <w:rPr>
          <w:rFonts w:ascii="Times New Roman" w:eastAsia="Times New Roman" w:hAnsi="Times New Roman" w:cs="Times New Roman"/>
          <w:sz w:val="20"/>
        </w:rPr>
        <w:t xml:space="preserve">        However, one may question that the massification of higher education in Serbia completely coincides with the same social changes that in the European context led to a massive demand for highly educated experts and to a changed role of universities. The development and massification of higher education in Serbia also took place under the influence of less general factors. It started with the realization of the importance of education for the development of the country and the "planning of the educated elite" in the 19th century. In the socialist period, it was marked by a strong wave of egalitarianism that enabled a large number of children of workers and peasants to get access to higher education at the beginning of the second half of the last century. During the period of growing unemployment in the second half of the last century and at the beginning of this century, higher education institutions often had the function of a kind of buffer zone that was supposed to cushion the pressure of the coming generations on the labor market. In the turbulent time immediately before and after the breakup of Yugoslavia, higher education seemed to guarantee neither employment nor social promotion. Finally, the massification of higher education in Serbia was accepted and promoted as one of the EU standards in the accession process. Although it is not the subject of this discussion, in the context of such specificity of the development of higher education in Serbia, it is legitimate to ask the question whether the degree of modernization of Serbian society is such that its functioning requires the same number of highly educated experts as is produced and as expected by the Education Development Strategy until 2020.</w:t>
      </w:r>
    </w:p>
    <w:p w14:paraId="34B544C6" w14:textId="77777777" w:rsidR="00E83E7D" w:rsidRDefault="00000000">
      <w:pPr>
        <w:jc w:val="both"/>
      </w:pPr>
      <w:r>
        <w:rPr>
          <w:rFonts w:ascii="Times New Roman" w:eastAsia="Times New Roman" w:hAnsi="Times New Roman" w:cs="Times New Roman"/>
          <w:sz w:val="20"/>
        </w:rPr>
        <w:t xml:space="preserve">      A few general indicators will help us at least guess the answer to that question.</w:t>
      </w:r>
    </w:p>
    <w:p w14:paraId="291C37AC" w14:textId="77777777" w:rsidR="00E83E7D" w:rsidRDefault="00E83E7D">
      <w:pPr>
        <w:jc w:val="both"/>
      </w:pPr>
    </w:p>
    <w:p w14:paraId="3A908FDC" w14:textId="77777777" w:rsidR="00E83E7D" w:rsidRDefault="00000000">
      <w:pPr>
        <w:jc w:val="center"/>
      </w:pPr>
      <w:r>
        <w:rPr>
          <w:rFonts w:ascii="Times New Roman" w:eastAsia="Times New Roman" w:hAnsi="Times New Roman" w:cs="Times New Roman"/>
          <w:b/>
          <w:sz w:val="20"/>
        </w:rPr>
        <w:t>Table 2</w:t>
      </w:r>
      <w:r>
        <w:rPr>
          <w:rFonts w:ascii="Times New Roman" w:eastAsia="Times New Roman" w:hAnsi="Times New Roman" w:cs="Times New Roman"/>
          <w:sz w:val="20"/>
        </w:rPr>
        <w:t xml:space="preserve"> Structure of employees in 2012, %</w:t>
      </w:r>
    </w:p>
    <w:tbl>
      <w:tblPr>
        <w:tblW w:w="5804" w:type="dxa"/>
        <w:jc w:val="center"/>
        <w:tblLayout w:type="fixed"/>
        <w:tblCellMar>
          <w:left w:w="10" w:type="dxa"/>
          <w:right w:w="10" w:type="dxa"/>
        </w:tblCellMar>
        <w:tblLook w:val="0000" w:firstRow="0" w:lastRow="0" w:firstColumn="0" w:lastColumn="0" w:noHBand="0" w:noVBand="0"/>
      </w:tblPr>
      <w:tblGrid>
        <w:gridCol w:w="1236"/>
        <w:gridCol w:w="1733"/>
        <w:gridCol w:w="1701"/>
        <w:gridCol w:w="1134"/>
      </w:tblGrid>
      <w:tr w:rsidR="00E83E7D" w14:paraId="2798B829" w14:textId="77777777">
        <w:tblPrEx>
          <w:tblCellMar>
            <w:top w:w="0" w:type="dxa"/>
            <w:bottom w:w="0" w:type="dxa"/>
          </w:tblCellMar>
        </w:tblPrEx>
        <w:trPr>
          <w:trHeight w:val="300"/>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EBC49C" w14:textId="77777777" w:rsidR="00E83E7D" w:rsidRDefault="00E83E7D">
            <w:pPr>
              <w:jc w:val="center"/>
            </w:pP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27EC6" w14:textId="77777777" w:rsidR="00E83E7D" w:rsidRDefault="00000000">
            <w:pPr>
              <w:jc w:val="center"/>
            </w:pPr>
            <w:r>
              <w:rPr>
                <w:rFonts w:ascii="Times New Roman" w:eastAsia="Times New Roman" w:hAnsi="Times New Roman" w:cs="Times New Roman"/>
                <w:sz w:val="18"/>
              </w:rPr>
              <w:t>Primary school and lower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62D32" w14:textId="77777777" w:rsidR="00E83E7D" w:rsidRDefault="00000000">
            <w:pPr>
              <w:jc w:val="center"/>
            </w:pPr>
            <w:r>
              <w:rPr>
                <w:rFonts w:ascii="Times New Roman" w:eastAsia="Times New Roman" w:hAnsi="Times New Roman" w:cs="Times New Roman"/>
                <w:sz w:val="18"/>
              </w:rPr>
              <w:t>Middle and higher school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A0CB02" w14:textId="77777777" w:rsidR="00E83E7D" w:rsidRDefault="00000000">
            <w:pPr>
              <w:jc w:val="center"/>
            </w:pPr>
            <w:r>
              <w:rPr>
                <w:rFonts w:ascii="Times New Roman" w:eastAsia="Times New Roman" w:hAnsi="Times New Roman" w:cs="Times New Roman"/>
                <w:sz w:val="18"/>
              </w:rPr>
              <w:t>Faculties</w:t>
            </w:r>
          </w:p>
        </w:tc>
      </w:tr>
      <w:tr w:rsidR="00E83E7D" w14:paraId="45FA96F1" w14:textId="77777777">
        <w:tblPrEx>
          <w:tblCellMar>
            <w:top w:w="0" w:type="dxa"/>
            <w:bottom w:w="0" w:type="dxa"/>
          </w:tblCellMar>
        </w:tblPrEx>
        <w:trPr>
          <w:trHeight w:val="136"/>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DDCBB9" w14:textId="77777777" w:rsidR="00E83E7D" w:rsidRDefault="00000000">
            <w:pPr>
              <w:jc w:val="center"/>
            </w:pPr>
            <w:r>
              <w:rPr>
                <w:rFonts w:ascii="Times New Roman" w:eastAsia="Times New Roman" w:hAnsi="Times New Roman" w:cs="Times New Roman"/>
                <w:sz w:val="18"/>
              </w:rPr>
              <w:t>Serbia</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DD2EFA" w14:textId="77777777" w:rsidR="00E83E7D" w:rsidRDefault="00000000">
            <w:pPr>
              <w:jc w:val="center"/>
            </w:pPr>
            <w:r>
              <w:rPr>
                <w:rFonts w:ascii="Times New Roman" w:eastAsia="Times New Roman" w:hAnsi="Times New Roman" w:cs="Times New Roman"/>
                <w:sz w:val="18"/>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60248E" w14:textId="77777777" w:rsidR="00E83E7D" w:rsidRDefault="00000000">
            <w:pPr>
              <w:jc w:val="center"/>
            </w:pPr>
            <w:r>
              <w:rPr>
                <w:rFonts w:ascii="Times New Roman" w:eastAsia="Times New Roman" w:hAnsi="Times New Roman" w:cs="Times New Roman"/>
                <w:sz w:val="18"/>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73F77" w14:textId="77777777" w:rsidR="00E83E7D" w:rsidRDefault="00000000">
            <w:pPr>
              <w:jc w:val="center"/>
            </w:pPr>
            <w:r>
              <w:rPr>
                <w:rFonts w:ascii="Times New Roman" w:eastAsia="Times New Roman" w:hAnsi="Times New Roman" w:cs="Times New Roman"/>
                <w:sz w:val="18"/>
              </w:rPr>
              <w:t>15</w:t>
            </w:r>
          </w:p>
        </w:tc>
      </w:tr>
      <w:tr w:rsidR="00E83E7D" w14:paraId="65CD6496" w14:textId="77777777">
        <w:tblPrEx>
          <w:tblCellMar>
            <w:top w:w="0" w:type="dxa"/>
            <w:bottom w:w="0" w:type="dxa"/>
          </w:tblCellMar>
        </w:tblPrEx>
        <w:trPr>
          <w:trHeight w:val="210"/>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D65CE" w14:textId="77777777" w:rsidR="00E83E7D" w:rsidRDefault="00000000">
            <w:pPr>
              <w:jc w:val="center"/>
            </w:pPr>
            <w:r>
              <w:rPr>
                <w:rFonts w:ascii="Times New Roman" w:eastAsia="Times New Roman" w:hAnsi="Times New Roman" w:cs="Times New Roman"/>
                <w:sz w:val="18"/>
              </w:rPr>
              <w:t>EU average</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B769E7" w14:textId="77777777" w:rsidR="00E83E7D" w:rsidRDefault="00000000">
            <w:pPr>
              <w:jc w:val="center"/>
            </w:pPr>
            <w:r>
              <w:rPr>
                <w:rFonts w:ascii="Times New Roman" w:eastAsia="Times New Roman" w:hAnsi="Times New Roman" w:cs="Times New Roman"/>
                <w:sz w:val="18"/>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668323" w14:textId="77777777" w:rsidR="00E83E7D" w:rsidRDefault="00000000">
            <w:pPr>
              <w:jc w:val="center"/>
            </w:pPr>
            <w:r>
              <w:rPr>
                <w:rFonts w:ascii="Times New Roman" w:eastAsia="Times New Roman" w:hAnsi="Times New Roman" w:cs="Times New Roman"/>
                <w:sz w:val="18"/>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C17C61" w14:textId="77777777" w:rsidR="00E83E7D" w:rsidRDefault="00000000">
            <w:pPr>
              <w:jc w:val="center"/>
            </w:pPr>
            <w:r>
              <w:rPr>
                <w:rFonts w:ascii="Times New Roman" w:eastAsia="Times New Roman" w:hAnsi="Times New Roman" w:cs="Times New Roman"/>
                <w:sz w:val="18"/>
              </w:rPr>
              <w:t>32</w:t>
            </w:r>
          </w:p>
        </w:tc>
      </w:tr>
    </w:tbl>
    <w:p w14:paraId="1398B60C" w14:textId="77777777" w:rsidR="00E83E7D" w:rsidRDefault="00000000">
      <w:pPr>
        <w:jc w:val="center"/>
      </w:pPr>
      <w:r>
        <w:rPr>
          <w:rFonts w:ascii="Times New Roman" w:eastAsia="Times New Roman" w:hAnsi="Times New Roman" w:cs="Times New Roman"/>
          <w:sz w:val="16"/>
        </w:rPr>
        <w:t>Source: Eurostat</w:t>
      </w:r>
    </w:p>
    <w:p w14:paraId="648C9EE2" w14:textId="77777777" w:rsidR="00E83E7D" w:rsidRDefault="00E83E7D">
      <w:pPr>
        <w:jc w:val="both"/>
      </w:pPr>
    </w:p>
    <w:p w14:paraId="01B82A9C" w14:textId="77777777" w:rsidR="00E83E7D" w:rsidRDefault="00000000">
      <w:pPr>
        <w:jc w:val="center"/>
      </w:pPr>
      <w:r>
        <w:rPr>
          <w:rFonts w:ascii="Times New Roman" w:eastAsia="Times New Roman" w:hAnsi="Times New Roman" w:cs="Times New Roman"/>
          <w:b/>
          <w:sz w:val="20"/>
        </w:rPr>
        <w:t>Table 3</w:t>
      </w:r>
      <w:r>
        <w:rPr>
          <w:rFonts w:ascii="Times New Roman" w:eastAsia="Times New Roman" w:hAnsi="Times New Roman" w:cs="Times New Roman"/>
          <w:sz w:val="20"/>
        </w:rPr>
        <w:t xml:space="preserve"> Employment and unemployment rates, according to level of education, 2012, %</w:t>
      </w:r>
    </w:p>
    <w:tbl>
      <w:tblPr>
        <w:tblW w:w="6739" w:type="dxa"/>
        <w:jc w:val="center"/>
        <w:tblLayout w:type="fixed"/>
        <w:tblCellMar>
          <w:left w:w="10" w:type="dxa"/>
          <w:right w:w="10" w:type="dxa"/>
        </w:tblCellMar>
        <w:tblLook w:val="0000" w:firstRow="0" w:lastRow="0" w:firstColumn="0" w:lastColumn="0" w:noHBand="0" w:noVBand="0"/>
      </w:tblPr>
      <w:tblGrid>
        <w:gridCol w:w="1352"/>
        <w:gridCol w:w="709"/>
        <w:gridCol w:w="1134"/>
        <w:gridCol w:w="850"/>
        <w:gridCol w:w="993"/>
        <w:gridCol w:w="850"/>
        <w:gridCol w:w="851"/>
      </w:tblGrid>
      <w:tr w:rsidR="00E83E7D" w14:paraId="3F8DD0BE"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47425F" w14:textId="77777777" w:rsidR="00E83E7D" w:rsidRDefault="00E83E7D">
            <w:pPr>
              <w:jc w:val="both"/>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C9E39E" w14:textId="77777777" w:rsidR="00E83E7D" w:rsidRDefault="00000000">
            <w:pPr>
              <w:jc w:val="center"/>
            </w:pPr>
            <w:r>
              <w:rPr>
                <w:rFonts w:ascii="Times New Roman" w:eastAsia="Times New Roman" w:hAnsi="Times New Roman" w:cs="Times New Roman"/>
                <w:sz w:val="18"/>
              </w:rPr>
              <w:t>Primary school and lower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E2294" w14:textId="77777777" w:rsidR="00E83E7D" w:rsidRDefault="00000000">
            <w:pPr>
              <w:jc w:val="center"/>
            </w:pPr>
            <w:r>
              <w:rPr>
                <w:rFonts w:ascii="Times New Roman" w:eastAsia="Times New Roman" w:hAnsi="Times New Roman" w:cs="Times New Roman"/>
                <w:sz w:val="18"/>
              </w:rPr>
              <w:t>Middle and higher school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F15D1C" w14:textId="77777777" w:rsidR="00E83E7D" w:rsidRDefault="00000000">
            <w:pPr>
              <w:jc w:val="center"/>
            </w:pPr>
            <w:r>
              <w:rPr>
                <w:rFonts w:ascii="Times New Roman" w:eastAsia="Times New Roman" w:hAnsi="Times New Roman" w:cs="Times New Roman"/>
                <w:sz w:val="18"/>
              </w:rPr>
              <w:t>Faculties</w:t>
            </w:r>
          </w:p>
        </w:tc>
      </w:tr>
      <w:tr w:rsidR="00E83E7D" w14:paraId="105418D7"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8DCD22" w14:textId="77777777" w:rsidR="00E83E7D" w:rsidRDefault="00E83E7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036F76" w14:textId="77777777" w:rsidR="00E83E7D" w:rsidRDefault="00000000">
            <w:pPr>
              <w:jc w:val="center"/>
            </w:pPr>
            <w:r>
              <w:rPr>
                <w:rFonts w:ascii="Times New Roman" w:eastAsia="Times New Roman" w:hAnsi="Times New Roman" w:cs="Times New Roman"/>
                <w:sz w:val="18"/>
              </w:rPr>
              <w:t>Serbia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D7E11A" w14:textId="77777777" w:rsidR="00E83E7D" w:rsidRDefault="00000000">
            <w:pPr>
              <w:jc w:val="center"/>
            </w:pPr>
            <w:r>
              <w:rPr>
                <w:rFonts w:ascii="Times New Roman" w:eastAsia="Times New Roman" w:hAnsi="Times New Roman" w:cs="Times New Roman"/>
                <w:sz w:val="18"/>
              </w:rPr>
              <w:t>EU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E3771E" w14:textId="77777777" w:rsidR="00E83E7D" w:rsidRDefault="00000000">
            <w:pPr>
              <w:jc w:val="center"/>
            </w:pPr>
            <w:r>
              <w:rPr>
                <w:rFonts w:ascii="Times New Roman" w:eastAsia="Times New Roman" w:hAnsi="Times New Roman" w:cs="Times New Roman"/>
                <w:sz w:val="18"/>
              </w:rPr>
              <w:t>Serbia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5D771D" w14:textId="77777777" w:rsidR="00E83E7D" w:rsidRDefault="00000000">
            <w:pPr>
              <w:jc w:val="center"/>
            </w:pPr>
            <w:r>
              <w:rPr>
                <w:rFonts w:ascii="Times New Roman" w:eastAsia="Times New Roman" w:hAnsi="Times New Roman" w:cs="Times New Roman"/>
                <w:sz w:val="18"/>
              </w:rPr>
              <w:t>EU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F7CBC" w14:textId="77777777" w:rsidR="00E83E7D" w:rsidRDefault="00000000">
            <w:pPr>
              <w:jc w:val="center"/>
            </w:pPr>
            <w:r>
              <w:rPr>
                <w:rFonts w:ascii="Times New Roman" w:eastAsia="Times New Roman" w:hAnsi="Times New Roman" w:cs="Times New Roman"/>
                <w:sz w:val="18"/>
              </w:rPr>
              <w:t>Serbia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51130A" w14:textId="77777777" w:rsidR="00E83E7D" w:rsidRDefault="00000000">
            <w:pPr>
              <w:jc w:val="center"/>
            </w:pPr>
            <w:r>
              <w:rPr>
                <w:rFonts w:ascii="Times New Roman" w:eastAsia="Times New Roman" w:hAnsi="Times New Roman" w:cs="Times New Roman"/>
                <w:sz w:val="18"/>
              </w:rPr>
              <w:t>EU</w:t>
            </w:r>
          </w:p>
        </w:tc>
      </w:tr>
      <w:tr w:rsidR="00E83E7D" w14:paraId="0C74B50C"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49980C" w14:textId="77777777" w:rsidR="00E83E7D" w:rsidRDefault="00000000">
            <w:pPr>
              <w:jc w:val="both"/>
            </w:pPr>
            <w:r>
              <w:rPr>
                <w:rFonts w:ascii="Times New Roman" w:eastAsia="Times New Roman" w:hAnsi="Times New Roman" w:cs="Times New Roman"/>
                <w:sz w:val="18"/>
              </w:rPr>
              <w:t>Employment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5AB0B7" w14:textId="77777777" w:rsidR="00E83E7D" w:rsidRDefault="00000000">
            <w:pPr>
              <w:jc w:val="center"/>
            </w:pPr>
            <w:r>
              <w:rPr>
                <w:rFonts w:ascii="Times New Roman" w:eastAsia="Times New Roman" w:hAnsi="Times New Roman" w:cs="Times New Roman"/>
                <w:sz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3A4AB2" w14:textId="77777777" w:rsidR="00E83E7D" w:rsidRDefault="00000000">
            <w:pPr>
              <w:jc w:val="center"/>
            </w:pPr>
            <w:r>
              <w:rPr>
                <w:rFonts w:ascii="Times New Roman" w:eastAsia="Times New Roman" w:hAnsi="Times New Roman" w:cs="Times New Roman"/>
                <w:sz w:val="18"/>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50965C" w14:textId="77777777" w:rsidR="00E83E7D" w:rsidRDefault="00000000">
            <w:pPr>
              <w:jc w:val="center"/>
            </w:pPr>
            <w:r>
              <w:rPr>
                <w:rFonts w:ascii="Times New Roman" w:eastAsia="Times New Roman" w:hAnsi="Times New Roman" w:cs="Times New Roman"/>
                <w:sz w:val="18"/>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51F76" w14:textId="77777777" w:rsidR="00E83E7D" w:rsidRDefault="00000000">
            <w:pPr>
              <w:jc w:val="center"/>
            </w:pPr>
            <w:r>
              <w:rPr>
                <w:rFonts w:ascii="Times New Roman" w:eastAsia="Times New Roman" w:hAnsi="Times New Roman" w:cs="Times New Roman"/>
                <w:sz w:val="1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B4DC1E" w14:textId="77777777" w:rsidR="00E83E7D" w:rsidRDefault="00000000">
            <w:pPr>
              <w:jc w:val="center"/>
            </w:pPr>
            <w:r>
              <w:rPr>
                <w:rFonts w:ascii="Times New Roman" w:eastAsia="Times New Roman" w:hAnsi="Times New Roman" w:cs="Times New Roman"/>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6D341B" w14:textId="77777777" w:rsidR="00E83E7D" w:rsidRDefault="00000000">
            <w:pPr>
              <w:jc w:val="center"/>
            </w:pPr>
            <w:r>
              <w:rPr>
                <w:rFonts w:ascii="Times New Roman" w:eastAsia="Times New Roman" w:hAnsi="Times New Roman" w:cs="Times New Roman"/>
                <w:sz w:val="18"/>
              </w:rPr>
              <w:t>82</w:t>
            </w:r>
          </w:p>
        </w:tc>
      </w:tr>
      <w:tr w:rsidR="00E83E7D" w14:paraId="6759513B"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23A8A" w14:textId="77777777" w:rsidR="00E83E7D" w:rsidRDefault="00000000">
            <w:pPr>
              <w:jc w:val="both"/>
            </w:pPr>
            <w:r>
              <w:rPr>
                <w:rFonts w:ascii="Times New Roman" w:eastAsia="Times New Roman" w:hAnsi="Times New Roman" w:cs="Times New Roman"/>
                <w:sz w:val="18"/>
              </w:rPr>
              <w:t>Unemployment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9CAE48" w14:textId="77777777" w:rsidR="00E83E7D" w:rsidRDefault="00000000">
            <w:pPr>
              <w:jc w:val="center"/>
            </w:pPr>
            <w:r>
              <w:rPr>
                <w:rFonts w:ascii="Times New Roman" w:eastAsia="Times New Roman" w:hAnsi="Times New Roman" w:cs="Times New Roman"/>
                <w:sz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D6B43B" w14:textId="77777777" w:rsidR="00E83E7D" w:rsidRDefault="00000000">
            <w:pPr>
              <w:jc w:val="center"/>
            </w:pPr>
            <w:r>
              <w:rPr>
                <w:rFonts w:ascii="Times New Roman" w:eastAsia="Times New Roman" w:hAnsi="Times New Roman" w:cs="Times New Roman"/>
                <w:sz w:val="18"/>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CD1E7D" w14:textId="77777777" w:rsidR="00E83E7D" w:rsidRDefault="00000000">
            <w:pPr>
              <w:jc w:val="center"/>
            </w:pPr>
            <w:r>
              <w:rPr>
                <w:rFonts w:ascii="Times New Roman" w:eastAsia="Times New Roman" w:hAnsi="Times New Roman" w:cs="Times New Roman"/>
                <w:sz w:val="18"/>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178031" w14:textId="77777777" w:rsidR="00E83E7D" w:rsidRDefault="00000000">
            <w:pPr>
              <w:jc w:val="center"/>
            </w:pPr>
            <w:r>
              <w:rPr>
                <w:rFonts w:ascii="Times New Roman" w:eastAsia="Times New Roman" w:hAnsi="Times New Roman" w:cs="Times New Roman"/>
                <w:sz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DCF63" w14:textId="77777777" w:rsidR="00E83E7D" w:rsidRDefault="00000000">
            <w:pPr>
              <w:jc w:val="center"/>
            </w:pPr>
            <w:r>
              <w:rPr>
                <w:rFonts w:ascii="Times New Roman" w:eastAsia="Times New Roman" w:hAnsi="Times New Roman" w:cs="Times New Roman"/>
                <w:sz w:val="1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29DEE8" w14:textId="77777777" w:rsidR="00E83E7D" w:rsidRDefault="00000000">
            <w:pPr>
              <w:jc w:val="center"/>
            </w:pPr>
            <w:r>
              <w:rPr>
                <w:rFonts w:ascii="Times New Roman" w:eastAsia="Times New Roman" w:hAnsi="Times New Roman" w:cs="Times New Roman"/>
                <w:sz w:val="18"/>
              </w:rPr>
              <w:t>6</w:t>
            </w:r>
          </w:p>
        </w:tc>
      </w:tr>
    </w:tbl>
    <w:p w14:paraId="688E344D" w14:textId="77777777" w:rsidR="00E83E7D" w:rsidRDefault="00000000">
      <w:pPr>
        <w:jc w:val="center"/>
      </w:pPr>
      <w:r>
        <w:rPr>
          <w:rFonts w:ascii="Times New Roman" w:eastAsia="Times New Roman" w:hAnsi="Times New Roman" w:cs="Times New Roman"/>
          <w:sz w:val="16"/>
        </w:rPr>
        <w:t>Source: Eurostat</w:t>
      </w:r>
    </w:p>
    <w:p w14:paraId="2E3D333D" w14:textId="77777777" w:rsidR="00D403A9" w:rsidRDefault="00000000">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2794F15" w14:textId="5A70A37F" w:rsidR="00E83E7D" w:rsidRDefault="00000000">
      <w:pPr>
        <w:jc w:val="both"/>
      </w:pPr>
      <w:r>
        <w:rPr>
          <w:rFonts w:ascii="Times New Roman" w:eastAsia="Times New Roman" w:hAnsi="Times New Roman" w:cs="Times New Roman"/>
          <w:sz w:val="20"/>
        </w:rPr>
        <w:t xml:space="preserve">   The structure of employees in Serbia in 2012 was such that half as many employees as the EU average had university degrees. While in the European context unemployment rates </w:t>
      </w:r>
      <w:r>
        <w:rPr>
          <w:rFonts w:ascii="Times New Roman" w:eastAsia="Times New Roman" w:hAnsi="Times New Roman" w:cs="Times New Roman"/>
          <w:sz w:val="20"/>
        </w:rPr>
        <w:lastRenderedPageBreak/>
        <w:t>in 2012 decreased with the increase in education level, and were lowest for persons with higher education, in Serbia the unemployment rate was higher among persons with secondary school and college than among persons with a low educational level. Do these data indicate a lack of demand for highly educated personnel?! If the changes that led to the massification of higher education in Serbia in the developed world have slowed down or stopped, and if at this stage of the development of Serbian society the demand for highly educated experts is less than their supply, do we then need mass higher education in its content aimed at the labor market?!</w:t>
      </w:r>
    </w:p>
    <w:p w14:paraId="72DB9BB0" w14:textId="77777777" w:rsidR="00E83E7D" w:rsidRDefault="00000000">
      <w:pPr>
        <w:jc w:val="both"/>
      </w:pPr>
      <w:r>
        <w:rPr>
          <w:rFonts w:ascii="Times New Roman" w:eastAsia="Times New Roman" w:hAnsi="Times New Roman" w:cs="Times New Roman"/>
          <w:sz w:val="20"/>
        </w:rPr>
        <w:t xml:space="preserve">     Ten years later, however, the educational structure of the employed population in Serbia, as well as the ratio of employed and unemployed with different levels of education, compared to the EU average, is significantly different.</w:t>
      </w:r>
    </w:p>
    <w:p w14:paraId="6DF09E94" w14:textId="77777777" w:rsidR="00E83E7D" w:rsidRDefault="00000000">
      <w:pPr>
        <w:jc w:val="both"/>
      </w:pPr>
      <w:r>
        <w:rPr>
          <w:rFonts w:ascii="Times New Roman" w:eastAsia="Times New Roman" w:hAnsi="Times New Roman" w:cs="Times New Roman"/>
          <w:sz w:val="20"/>
        </w:rPr>
        <w:t xml:space="preserve">      </w:t>
      </w:r>
    </w:p>
    <w:p w14:paraId="4300867B" w14:textId="77777777" w:rsidR="00E83E7D" w:rsidRDefault="00000000">
      <w:pPr>
        <w:jc w:val="center"/>
      </w:pPr>
      <w:r>
        <w:rPr>
          <w:rFonts w:ascii="Times New Roman" w:eastAsia="Times New Roman" w:hAnsi="Times New Roman" w:cs="Times New Roman"/>
          <w:b/>
          <w:sz w:val="20"/>
        </w:rPr>
        <w:t>Table 4</w:t>
      </w:r>
      <w:r>
        <w:rPr>
          <w:rFonts w:ascii="Times New Roman" w:eastAsia="Times New Roman" w:hAnsi="Times New Roman" w:cs="Times New Roman"/>
          <w:sz w:val="20"/>
        </w:rPr>
        <w:t xml:space="preserve"> Structure of employees in 2022, %</w:t>
      </w:r>
    </w:p>
    <w:tbl>
      <w:tblPr>
        <w:tblW w:w="5406" w:type="dxa"/>
        <w:jc w:val="center"/>
        <w:tblLayout w:type="fixed"/>
        <w:tblCellMar>
          <w:left w:w="10" w:type="dxa"/>
          <w:right w:w="10" w:type="dxa"/>
        </w:tblCellMar>
        <w:tblLook w:val="0000" w:firstRow="0" w:lastRow="0" w:firstColumn="0" w:lastColumn="0" w:noHBand="0" w:noVBand="0"/>
      </w:tblPr>
      <w:tblGrid>
        <w:gridCol w:w="1236"/>
        <w:gridCol w:w="1476"/>
        <w:gridCol w:w="1701"/>
        <w:gridCol w:w="993"/>
      </w:tblGrid>
      <w:tr w:rsidR="00E83E7D" w14:paraId="7AD8DDCE" w14:textId="77777777">
        <w:tblPrEx>
          <w:tblCellMar>
            <w:top w:w="0" w:type="dxa"/>
            <w:bottom w:w="0" w:type="dxa"/>
          </w:tblCellMar>
        </w:tblPrEx>
        <w:trPr>
          <w:trHeight w:val="300"/>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3FA1F" w14:textId="77777777" w:rsidR="00E83E7D" w:rsidRDefault="00E83E7D">
            <w:pPr>
              <w:jc w:val="both"/>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0F3E26" w14:textId="77777777" w:rsidR="00E83E7D" w:rsidRDefault="00000000">
            <w:pPr>
              <w:jc w:val="center"/>
            </w:pPr>
            <w:r>
              <w:rPr>
                <w:rFonts w:ascii="Times New Roman" w:eastAsia="Times New Roman" w:hAnsi="Times New Roman" w:cs="Times New Roman"/>
                <w:sz w:val="18"/>
              </w:rPr>
              <w:t>Basic and lower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CFE4D6" w14:textId="77777777" w:rsidR="00E83E7D" w:rsidRDefault="00000000">
            <w:pPr>
              <w:jc w:val="center"/>
            </w:pPr>
            <w:r>
              <w:rPr>
                <w:rFonts w:ascii="Times New Roman" w:eastAsia="Times New Roman" w:hAnsi="Times New Roman" w:cs="Times New Roman"/>
                <w:sz w:val="18"/>
              </w:rPr>
              <w:t>Medium and higher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8AC5F4" w14:textId="77777777" w:rsidR="00E83E7D" w:rsidRDefault="00000000">
            <w:pPr>
              <w:jc w:val="center"/>
            </w:pPr>
            <w:r>
              <w:rPr>
                <w:rFonts w:ascii="Times New Roman" w:eastAsia="Times New Roman" w:hAnsi="Times New Roman" w:cs="Times New Roman"/>
                <w:sz w:val="18"/>
              </w:rPr>
              <w:t>Faculties</w:t>
            </w:r>
          </w:p>
        </w:tc>
      </w:tr>
      <w:tr w:rsidR="00E83E7D" w14:paraId="10378518" w14:textId="77777777">
        <w:tblPrEx>
          <w:tblCellMar>
            <w:top w:w="0" w:type="dxa"/>
            <w:bottom w:w="0" w:type="dxa"/>
          </w:tblCellMar>
        </w:tblPrEx>
        <w:trPr>
          <w:trHeight w:val="171"/>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C22291" w14:textId="77777777" w:rsidR="00E83E7D" w:rsidRDefault="00000000">
            <w:pPr>
              <w:jc w:val="both"/>
            </w:pPr>
            <w:r>
              <w:rPr>
                <w:rFonts w:ascii="Times New Roman" w:eastAsia="Times New Roman" w:hAnsi="Times New Roman" w:cs="Times New Roman"/>
                <w:sz w:val="18"/>
              </w:rPr>
              <w:t>Serbia</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502E5" w14:textId="77777777" w:rsidR="00E83E7D" w:rsidRDefault="00000000">
            <w:pPr>
              <w:jc w:val="center"/>
            </w:pPr>
            <w:r>
              <w:rPr>
                <w:rFonts w:ascii="Times New Roman" w:eastAsia="Times New Roman" w:hAnsi="Times New Roman" w:cs="Times New Roman"/>
                <w:sz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3CEC86" w14:textId="77777777" w:rsidR="00E83E7D" w:rsidRDefault="00000000">
            <w:pPr>
              <w:jc w:val="center"/>
            </w:pPr>
            <w:r>
              <w:rPr>
                <w:rFonts w:ascii="Times New Roman" w:eastAsia="Times New Roman" w:hAnsi="Times New Roman" w:cs="Times New Roman"/>
                <w:sz w:val="18"/>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4AA8B9" w14:textId="77777777" w:rsidR="00E83E7D" w:rsidRDefault="00000000">
            <w:pPr>
              <w:jc w:val="center"/>
            </w:pPr>
            <w:r>
              <w:rPr>
                <w:rFonts w:ascii="Times New Roman" w:eastAsia="Times New Roman" w:hAnsi="Times New Roman" w:cs="Times New Roman"/>
                <w:sz w:val="18"/>
              </w:rPr>
              <w:t>29</w:t>
            </w:r>
          </w:p>
        </w:tc>
      </w:tr>
      <w:tr w:rsidR="00E83E7D" w14:paraId="47D0BB87" w14:textId="77777777">
        <w:tblPrEx>
          <w:tblCellMar>
            <w:top w:w="0" w:type="dxa"/>
            <w:bottom w:w="0" w:type="dxa"/>
          </w:tblCellMar>
        </w:tblPrEx>
        <w:trPr>
          <w:trHeight w:val="231"/>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F9B2ED" w14:textId="77777777" w:rsidR="00E83E7D" w:rsidRDefault="00000000">
            <w:pPr>
              <w:jc w:val="both"/>
            </w:pPr>
            <w:r>
              <w:rPr>
                <w:rFonts w:ascii="Times New Roman" w:eastAsia="Times New Roman" w:hAnsi="Times New Roman" w:cs="Times New Roman"/>
                <w:sz w:val="18"/>
              </w:rPr>
              <w:t>EU average</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1F355" w14:textId="77777777" w:rsidR="00E83E7D" w:rsidRDefault="00000000">
            <w:pPr>
              <w:jc w:val="center"/>
            </w:pPr>
            <w:r>
              <w:rPr>
                <w:rFonts w:ascii="Times New Roman" w:eastAsia="Times New Roman" w:hAnsi="Times New Roman" w:cs="Times New Roman"/>
                <w:sz w:val="18"/>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F0D76D" w14:textId="77777777" w:rsidR="00E83E7D" w:rsidRDefault="00000000">
            <w:pPr>
              <w:jc w:val="center"/>
            </w:pPr>
            <w:r>
              <w:rPr>
                <w:rFonts w:ascii="Times New Roman" w:eastAsia="Times New Roman" w:hAnsi="Times New Roman" w:cs="Times New Roman"/>
                <w:sz w:val="18"/>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853861" w14:textId="77777777" w:rsidR="00E83E7D" w:rsidRDefault="00000000">
            <w:pPr>
              <w:jc w:val="center"/>
            </w:pPr>
            <w:r>
              <w:rPr>
                <w:rFonts w:ascii="Times New Roman" w:eastAsia="Times New Roman" w:hAnsi="Times New Roman" w:cs="Times New Roman"/>
                <w:sz w:val="18"/>
              </w:rPr>
              <w:t>38</w:t>
            </w:r>
          </w:p>
        </w:tc>
      </w:tr>
    </w:tbl>
    <w:p w14:paraId="2DB6FF2A" w14:textId="77777777" w:rsidR="00E83E7D" w:rsidRDefault="00000000">
      <w:pPr>
        <w:jc w:val="center"/>
      </w:pPr>
      <w:r>
        <w:rPr>
          <w:rFonts w:ascii="Times New Roman" w:eastAsia="Times New Roman" w:hAnsi="Times New Roman" w:cs="Times New Roman"/>
          <w:sz w:val="16"/>
        </w:rPr>
        <w:t>Source: Eurostat</w:t>
      </w:r>
    </w:p>
    <w:p w14:paraId="6067AEEB" w14:textId="77777777" w:rsidR="00E83E7D" w:rsidRDefault="00E83E7D">
      <w:pPr>
        <w:jc w:val="both"/>
      </w:pPr>
    </w:p>
    <w:p w14:paraId="04AE6436" w14:textId="77777777" w:rsidR="00E83E7D" w:rsidRDefault="00000000">
      <w:pPr>
        <w:jc w:val="both"/>
      </w:pPr>
      <w:r>
        <w:rPr>
          <w:rFonts w:ascii="Times New Roman" w:eastAsia="Times New Roman" w:hAnsi="Times New Roman" w:cs="Times New Roman"/>
          <w:sz w:val="20"/>
        </w:rPr>
        <w:t xml:space="preserve">        The share of highly educated people in the employed population, although still lower, has somewhat approached the EU average. Employment rates generally increased, and among the highly educated, the employment rate equaled the EU average. At the same time, in 2022, the unemployment rate among the highly educated workforce is, as in the EU, lower than the unemployment rate among the less educated population.</w:t>
      </w:r>
    </w:p>
    <w:p w14:paraId="3147223E" w14:textId="77777777" w:rsidR="00E83E7D" w:rsidRDefault="00E83E7D">
      <w:pPr>
        <w:jc w:val="both"/>
      </w:pPr>
    </w:p>
    <w:p w14:paraId="10F967F6" w14:textId="77777777" w:rsidR="00E83E7D" w:rsidRDefault="00000000">
      <w:pPr>
        <w:jc w:val="center"/>
      </w:pPr>
      <w:r>
        <w:rPr>
          <w:rFonts w:ascii="Times New Roman" w:eastAsia="Times New Roman" w:hAnsi="Times New Roman" w:cs="Times New Roman"/>
          <w:b/>
          <w:sz w:val="20"/>
        </w:rPr>
        <w:t>Table 5</w:t>
      </w:r>
      <w:r>
        <w:rPr>
          <w:rFonts w:ascii="Times New Roman" w:eastAsia="Times New Roman" w:hAnsi="Times New Roman" w:cs="Times New Roman"/>
          <w:sz w:val="20"/>
        </w:rPr>
        <w:t xml:space="preserve"> Employment and unemployment rates, by level of education, 2022, %</w:t>
      </w:r>
    </w:p>
    <w:tbl>
      <w:tblPr>
        <w:tblW w:w="6147" w:type="dxa"/>
        <w:jc w:val="center"/>
        <w:tblLayout w:type="fixed"/>
        <w:tblCellMar>
          <w:left w:w="10" w:type="dxa"/>
          <w:right w:w="10" w:type="dxa"/>
        </w:tblCellMar>
        <w:tblLook w:val="0000" w:firstRow="0" w:lastRow="0" w:firstColumn="0" w:lastColumn="0" w:noHBand="0" w:noVBand="0"/>
      </w:tblPr>
      <w:tblGrid>
        <w:gridCol w:w="1352"/>
        <w:gridCol w:w="709"/>
        <w:gridCol w:w="709"/>
        <w:gridCol w:w="850"/>
        <w:gridCol w:w="968"/>
        <w:gridCol w:w="696"/>
        <w:gridCol w:w="863"/>
      </w:tblGrid>
      <w:tr w:rsidR="00E83E7D" w14:paraId="3DE81814"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60E20" w14:textId="77777777" w:rsidR="00E83E7D" w:rsidRDefault="00E83E7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28BF96" w14:textId="77777777" w:rsidR="00E83E7D" w:rsidRDefault="00000000">
            <w:pPr>
              <w:jc w:val="both"/>
            </w:pPr>
            <w:r>
              <w:rPr>
                <w:rFonts w:ascii="Times New Roman" w:eastAsia="Times New Roman" w:hAnsi="Times New Roman" w:cs="Times New Roman"/>
                <w:sz w:val="18"/>
              </w:rPr>
              <w:t>Basic and lower</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4AAECA" w14:textId="77777777" w:rsidR="00E83E7D" w:rsidRDefault="00000000">
            <w:pPr>
              <w:jc w:val="both"/>
            </w:pPr>
            <w:r>
              <w:rPr>
                <w:rFonts w:ascii="Times New Roman" w:eastAsia="Times New Roman" w:hAnsi="Times New Roman" w:cs="Times New Roman"/>
                <w:sz w:val="18"/>
              </w:rPr>
              <w:t>Medium and higher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0584B" w14:textId="77777777" w:rsidR="00E83E7D" w:rsidRDefault="00000000">
            <w:pPr>
              <w:jc w:val="both"/>
            </w:pPr>
            <w:r>
              <w:rPr>
                <w:rFonts w:ascii="Times New Roman" w:eastAsia="Times New Roman" w:hAnsi="Times New Roman" w:cs="Times New Roman"/>
                <w:sz w:val="18"/>
              </w:rPr>
              <w:t>Faculties</w:t>
            </w:r>
          </w:p>
        </w:tc>
      </w:tr>
      <w:tr w:rsidR="00E83E7D" w14:paraId="7DE888FF"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F08126" w14:textId="77777777" w:rsidR="00E83E7D" w:rsidRDefault="00E83E7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974607" w14:textId="77777777" w:rsidR="00E83E7D" w:rsidRDefault="00000000">
            <w:pPr>
              <w:jc w:val="both"/>
            </w:pPr>
            <w:r>
              <w:rPr>
                <w:rFonts w:ascii="Times New Roman" w:eastAsia="Times New Roman" w:hAnsi="Times New Roman" w:cs="Times New Roman"/>
                <w:sz w:val="18"/>
              </w:rPr>
              <w:t>Serbia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64F5C" w14:textId="77777777" w:rsidR="00E83E7D" w:rsidRDefault="00000000">
            <w:pPr>
              <w:jc w:val="both"/>
            </w:pPr>
            <w:r>
              <w:rPr>
                <w:rFonts w:ascii="Times New Roman" w:eastAsia="Times New Roman" w:hAnsi="Times New Roman" w:cs="Times New Roman"/>
                <w:sz w:val="18"/>
              </w:rPr>
              <w:t>EU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FF6DF1" w14:textId="77777777" w:rsidR="00E83E7D" w:rsidRDefault="00000000">
            <w:pPr>
              <w:jc w:val="both"/>
            </w:pPr>
            <w:r>
              <w:rPr>
                <w:rFonts w:ascii="Times New Roman" w:eastAsia="Times New Roman" w:hAnsi="Times New Roman" w:cs="Times New Roman"/>
                <w:sz w:val="18"/>
              </w:rPr>
              <w:t>Serbia</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97125" w14:textId="77777777" w:rsidR="00E83E7D" w:rsidRDefault="00000000">
            <w:pPr>
              <w:jc w:val="both"/>
            </w:pPr>
            <w:r>
              <w:rPr>
                <w:rFonts w:ascii="Times New Roman" w:eastAsia="Times New Roman" w:hAnsi="Times New Roman" w:cs="Times New Roman"/>
                <w:sz w:val="18"/>
              </w:rPr>
              <w:t>EU</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E673EE" w14:textId="77777777" w:rsidR="00E83E7D" w:rsidRDefault="00000000">
            <w:pPr>
              <w:jc w:val="both"/>
            </w:pPr>
            <w:r>
              <w:rPr>
                <w:rFonts w:ascii="Times New Roman" w:eastAsia="Times New Roman" w:hAnsi="Times New Roman" w:cs="Times New Roman"/>
                <w:sz w:val="18"/>
              </w:rPr>
              <w:t>Serbia</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FA42FC" w14:textId="77777777" w:rsidR="00E83E7D" w:rsidRDefault="00000000">
            <w:pPr>
              <w:jc w:val="both"/>
            </w:pPr>
            <w:r>
              <w:rPr>
                <w:rFonts w:ascii="Times New Roman" w:eastAsia="Times New Roman" w:hAnsi="Times New Roman" w:cs="Times New Roman"/>
                <w:sz w:val="18"/>
              </w:rPr>
              <w:t>EU</w:t>
            </w:r>
          </w:p>
        </w:tc>
      </w:tr>
      <w:tr w:rsidR="00E83E7D" w14:paraId="2F41F904"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DC9B77" w14:textId="77777777" w:rsidR="00E83E7D" w:rsidRDefault="00000000">
            <w:pPr>
              <w:jc w:val="both"/>
            </w:pPr>
            <w:r>
              <w:rPr>
                <w:rFonts w:ascii="Times New Roman" w:eastAsia="Times New Roman" w:hAnsi="Times New Roman" w:cs="Times New Roman"/>
                <w:sz w:val="18"/>
              </w:rPr>
              <w:t>Employment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4515C0" w14:textId="77777777" w:rsidR="00E83E7D" w:rsidRDefault="00000000">
            <w:pPr>
              <w:jc w:val="center"/>
            </w:pPr>
            <w:r>
              <w:rPr>
                <w:rFonts w:ascii="Times New Roman" w:eastAsia="Times New Roman" w:hAnsi="Times New Roman" w:cs="Times New Roman"/>
                <w:sz w:val="18"/>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602157" w14:textId="77777777" w:rsidR="00E83E7D" w:rsidRDefault="00000000">
            <w:pPr>
              <w:jc w:val="center"/>
            </w:pPr>
            <w:r>
              <w:rPr>
                <w:rFonts w:ascii="Times New Roman" w:eastAsia="Times New Roman" w:hAnsi="Times New Roman" w:cs="Times New Roman"/>
                <w:sz w:val="18"/>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EC0875" w14:textId="77777777" w:rsidR="00E83E7D" w:rsidRDefault="00000000">
            <w:pPr>
              <w:jc w:val="center"/>
            </w:pPr>
            <w:r>
              <w:rPr>
                <w:rFonts w:ascii="Times New Roman" w:eastAsia="Times New Roman" w:hAnsi="Times New Roman" w:cs="Times New Roman"/>
                <w:sz w:val="18"/>
              </w:rPr>
              <w:t>68</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D4219" w14:textId="77777777" w:rsidR="00E83E7D" w:rsidRDefault="00000000">
            <w:pPr>
              <w:jc w:val="center"/>
            </w:pPr>
            <w:r>
              <w:rPr>
                <w:rFonts w:ascii="Times New Roman" w:eastAsia="Times New Roman" w:hAnsi="Times New Roman" w:cs="Times New Roman"/>
                <w:sz w:val="18"/>
              </w:rPr>
              <w:t>74</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ADB1DE" w14:textId="77777777" w:rsidR="00E83E7D" w:rsidRDefault="00000000">
            <w:pPr>
              <w:jc w:val="center"/>
            </w:pPr>
            <w:r>
              <w:rPr>
                <w:rFonts w:ascii="Times New Roman" w:eastAsia="Times New Roman" w:hAnsi="Times New Roman" w:cs="Times New Roman"/>
                <w:sz w:val="18"/>
              </w:rPr>
              <w:t>84</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D63FF" w14:textId="77777777" w:rsidR="00E83E7D" w:rsidRDefault="00000000">
            <w:pPr>
              <w:jc w:val="center"/>
            </w:pPr>
            <w:r>
              <w:rPr>
                <w:rFonts w:ascii="Times New Roman" w:eastAsia="Times New Roman" w:hAnsi="Times New Roman" w:cs="Times New Roman"/>
                <w:sz w:val="18"/>
              </w:rPr>
              <w:t>85</w:t>
            </w:r>
          </w:p>
        </w:tc>
      </w:tr>
      <w:tr w:rsidR="00E83E7D" w14:paraId="52C5576B" w14:textId="77777777">
        <w:tblPrEx>
          <w:tblCellMar>
            <w:top w:w="0" w:type="dxa"/>
            <w:bottom w:w="0" w:type="dxa"/>
          </w:tblCellMar>
        </w:tblPrEx>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ADDF5" w14:textId="77777777" w:rsidR="00E83E7D" w:rsidRDefault="00000000">
            <w:pPr>
              <w:jc w:val="both"/>
            </w:pPr>
            <w:r>
              <w:rPr>
                <w:rFonts w:ascii="Times New Roman" w:eastAsia="Times New Roman" w:hAnsi="Times New Roman" w:cs="Times New Roman"/>
                <w:sz w:val="18"/>
              </w:rPr>
              <w:t>Unemployment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1A8C5" w14:textId="77777777" w:rsidR="00E83E7D" w:rsidRDefault="00000000">
            <w:pPr>
              <w:jc w:val="center"/>
            </w:pPr>
            <w:r>
              <w:rPr>
                <w:rFonts w:ascii="Times New Roman" w:eastAsia="Times New Roman" w:hAnsi="Times New Roman" w:cs="Times New Roman"/>
                <w:sz w:val="18"/>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5439D9" w14:textId="77777777" w:rsidR="00E83E7D" w:rsidRDefault="00000000">
            <w:pPr>
              <w:jc w:val="center"/>
            </w:pPr>
            <w:r>
              <w:rPr>
                <w:rFonts w:ascii="Times New Roman" w:eastAsia="Times New Roman" w:hAnsi="Times New Roman" w:cs="Times New Roman"/>
                <w:sz w:val="18"/>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C2115" w14:textId="77777777" w:rsidR="00E83E7D" w:rsidRDefault="00000000">
            <w:pPr>
              <w:jc w:val="center"/>
            </w:pPr>
            <w:r>
              <w:rPr>
                <w:rFonts w:ascii="Times New Roman" w:eastAsia="Times New Roman" w:hAnsi="Times New Roman" w:cs="Times New Roman"/>
                <w:sz w:val="18"/>
              </w:rPr>
              <w:t>13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CE1F03" w14:textId="77777777" w:rsidR="00E83E7D" w:rsidRDefault="00000000">
            <w:pPr>
              <w:jc w:val="center"/>
            </w:pPr>
            <w:r>
              <w:rPr>
                <w:rFonts w:ascii="Times New Roman" w:eastAsia="Times New Roman" w:hAnsi="Times New Roman" w:cs="Times New Roman"/>
                <w:sz w:val="18"/>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887DA6" w14:textId="77777777" w:rsidR="00E83E7D" w:rsidRDefault="00000000">
            <w:pPr>
              <w:jc w:val="center"/>
            </w:pPr>
            <w:r>
              <w:rPr>
                <w:rFonts w:ascii="Times New Roman" w:eastAsia="Times New Roman" w:hAnsi="Times New Roman" w:cs="Times New Roman"/>
                <w:sz w:val="1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490EB1" w14:textId="77777777" w:rsidR="00E83E7D" w:rsidRDefault="00000000">
            <w:pPr>
              <w:jc w:val="center"/>
            </w:pPr>
            <w:r>
              <w:rPr>
                <w:rFonts w:ascii="Times New Roman" w:eastAsia="Times New Roman" w:hAnsi="Times New Roman" w:cs="Times New Roman"/>
                <w:sz w:val="18"/>
              </w:rPr>
              <w:t>4</w:t>
            </w:r>
          </w:p>
        </w:tc>
      </w:tr>
    </w:tbl>
    <w:p w14:paraId="77B789C5" w14:textId="77777777" w:rsidR="00E83E7D" w:rsidRDefault="00000000">
      <w:pPr>
        <w:jc w:val="center"/>
      </w:pPr>
      <w:r>
        <w:rPr>
          <w:rFonts w:ascii="Times New Roman" w:eastAsia="Times New Roman" w:hAnsi="Times New Roman" w:cs="Times New Roman"/>
          <w:sz w:val="16"/>
        </w:rPr>
        <w:t>Source: Eurostat</w:t>
      </w:r>
    </w:p>
    <w:p w14:paraId="572D4BF7" w14:textId="77777777" w:rsidR="00E83E7D" w:rsidRDefault="00E83E7D">
      <w:pPr>
        <w:jc w:val="both"/>
      </w:pPr>
    </w:p>
    <w:p w14:paraId="7FC8373E" w14:textId="77777777" w:rsidR="00E83E7D" w:rsidRDefault="00000000">
      <w:pPr>
        <w:jc w:val="both"/>
      </w:pPr>
      <w:r>
        <w:rPr>
          <w:rFonts w:ascii="Times New Roman" w:eastAsia="Times New Roman" w:hAnsi="Times New Roman" w:cs="Times New Roman"/>
          <w:sz w:val="20"/>
        </w:rPr>
        <w:t xml:space="preserve">        And the importance of higher education for employment opportunities has grown significantly. For example, in 2016, barely more than half of young people (ages 20-29) with a university degree were employed. By 2022, the share of highly educated young people among employees has increased and equaled the EU average (75% vs. 77%).</w:t>
      </w:r>
    </w:p>
    <w:p w14:paraId="3EFC30AC" w14:textId="77777777" w:rsidR="00E83E7D" w:rsidRDefault="00E83E7D">
      <w:pPr>
        <w:jc w:val="both"/>
      </w:pPr>
    </w:p>
    <w:p w14:paraId="6BE406BB" w14:textId="77777777" w:rsidR="00E83E7D" w:rsidRDefault="00000000">
      <w:pPr>
        <w:jc w:val="center"/>
      </w:pPr>
      <w:r>
        <w:rPr>
          <w:rFonts w:ascii="Times New Roman" w:eastAsia="Times New Roman" w:hAnsi="Times New Roman" w:cs="Times New Roman"/>
          <w:b/>
          <w:sz w:val="20"/>
        </w:rPr>
        <w:t>Table 6</w:t>
      </w:r>
      <w:r>
        <w:rPr>
          <w:rFonts w:ascii="Times New Roman" w:eastAsia="Times New Roman" w:hAnsi="Times New Roman" w:cs="Times New Roman"/>
          <w:sz w:val="20"/>
        </w:rPr>
        <w:t xml:space="preserve"> Employment rates of young people aged 20-29,</w:t>
      </w:r>
    </w:p>
    <w:p w14:paraId="25E32261" w14:textId="77777777" w:rsidR="00E83E7D" w:rsidRDefault="00000000">
      <w:pPr>
        <w:jc w:val="center"/>
      </w:pPr>
      <w:r>
        <w:rPr>
          <w:rFonts w:ascii="Times New Roman" w:eastAsia="Times New Roman" w:hAnsi="Times New Roman" w:cs="Times New Roman"/>
          <w:sz w:val="20"/>
        </w:rPr>
        <w:t>with a university degree, %</w:t>
      </w:r>
    </w:p>
    <w:tbl>
      <w:tblPr>
        <w:tblW w:w="5353" w:type="dxa"/>
        <w:jc w:val="center"/>
        <w:tblLayout w:type="fixed"/>
        <w:tblCellMar>
          <w:left w:w="10" w:type="dxa"/>
          <w:right w:w="10" w:type="dxa"/>
        </w:tblCellMar>
        <w:tblLook w:val="0000" w:firstRow="0" w:lastRow="0" w:firstColumn="0" w:lastColumn="0" w:noHBand="0" w:noVBand="0"/>
      </w:tblPr>
      <w:tblGrid>
        <w:gridCol w:w="1101"/>
        <w:gridCol w:w="708"/>
        <w:gridCol w:w="709"/>
        <w:gridCol w:w="709"/>
        <w:gridCol w:w="709"/>
        <w:gridCol w:w="708"/>
        <w:gridCol w:w="709"/>
      </w:tblGrid>
      <w:tr w:rsidR="00E83E7D" w14:paraId="4144FA4C" w14:textId="77777777">
        <w:tblPrEx>
          <w:tblCellMar>
            <w:top w:w="0" w:type="dxa"/>
            <w:bottom w:w="0" w:type="dxa"/>
          </w:tblCellMar>
        </w:tblPrEx>
        <w:trPr>
          <w:trHeight w:val="30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AAB331" w14:textId="77777777" w:rsidR="00E83E7D" w:rsidRDefault="00E83E7D">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90B02" w14:textId="77777777" w:rsidR="00E83E7D" w:rsidRDefault="00000000">
            <w:pPr>
              <w:jc w:val="both"/>
            </w:pPr>
            <w:r>
              <w:rPr>
                <w:rFonts w:ascii="Times New Roman" w:eastAsia="Times New Roman" w:hAnsi="Times New Roman" w:cs="Times New Roman"/>
                <w:sz w:val="18"/>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82C03" w14:textId="77777777" w:rsidR="00E83E7D" w:rsidRDefault="00000000">
            <w:pPr>
              <w:jc w:val="both"/>
            </w:pPr>
            <w:r>
              <w:rPr>
                <w:rFonts w:ascii="Times New Roman" w:eastAsia="Times New Roman" w:hAnsi="Times New Roman" w:cs="Times New Roman"/>
                <w:sz w:val="18"/>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D323A" w14:textId="77777777" w:rsidR="00E83E7D" w:rsidRDefault="00000000">
            <w:pPr>
              <w:jc w:val="both"/>
            </w:pPr>
            <w:r>
              <w:rPr>
                <w:rFonts w:ascii="Times New Roman" w:eastAsia="Times New Roman" w:hAnsi="Times New Roman" w:cs="Times New Roman"/>
                <w:sz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CAB52" w14:textId="77777777" w:rsidR="00E83E7D" w:rsidRDefault="00000000">
            <w:pPr>
              <w:jc w:val="both"/>
            </w:pPr>
            <w:r>
              <w:rPr>
                <w:rFonts w:ascii="Times New Roman" w:eastAsia="Times New Roman" w:hAnsi="Times New Roman" w:cs="Times New Roman"/>
                <w:sz w:val="18"/>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253E83" w14:textId="77777777" w:rsidR="00E83E7D" w:rsidRDefault="00000000">
            <w:pPr>
              <w:jc w:val="both"/>
            </w:pPr>
            <w:r>
              <w:rPr>
                <w:rFonts w:ascii="Times New Roman" w:eastAsia="Times New Roman" w:hAnsi="Times New Roman" w:cs="Times New Roman"/>
                <w:sz w:val="18"/>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BD346" w14:textId="77777777" w:rsidR="00E83E7D" w:rsidRDefault="00000000">
            <w:pPr>
              <w:jc w:val="both"/>
            </w:pPr>
            <w:r>
              <w:rPr>
                <w:rFonts w:ascii="Times New Roman" w:eastAsia="Times New Roman" w:hAnsi="Times New Roman" w:cs="Times New Roman"/>
                <w:sz w:val="18"/>
              </w:rPr>
              <w:t>2022</w:t>
            </w:r>
          </w:p>
        </w:tc>
      </w:tr>
      <w:tr w:rsidR="00E83E7D" w14:paraId="66BA5288" w14:textId="77777777">
        <w:tblPrEx>
          <w:tblCellMar>
            <w:top w:w="0" w:type="dxa"/>
            <w:bottom w:w="0" w:type="dxa"/>
          </w:tblCellMar>
        </w:tblPrEx>
        <w:trPr>
          <w:trHeight w:val="30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431599" w14:textId="77777777" w:rsidR="00E83E7D" w:rsidRDefault="00000000">
            <w:pPr>
              <w:jc w:val="both"/>
            </w:pPr>
            <w:r>
              <w:rPr>
                <w:rFonts w:ascii="Times New Roman" w:eastAsia="Times New Roman" w:hAnsi="Times New Roman" w:cs="Times New Roman"/>
                <w:sz w:val="18"/>
              </w:rPr>
              <w:t>Serbia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A035D8" w14:textId="77777777" w:rsidR="00E83E7D" w:rsidRDefault="00000000">
            <w:pPr>
              <w:jc w:val="center"/>
            </w:pPr>
            <w:r>
              <w:rPr>
                <w:rFonts w:ascii="Times New Roman" w:eastAsia="Times New Roman" w:hAnsi="Times New Roman" w:cs="Times New Roman"/>
                <w:sz w:val="18"/>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3E8034" w14:textId="77777777" w:rsidR="00E83E7D" w:rsidRDefault="00000000">
            <w:pPr>
              <w:jc w:val="center"/>
            </w:pPr>
            <w:r>
              <w:rPr>
                <w:rFonts w:ascii="Times New Roman" w:eastAsia="Times New Roman" w:hAnsi="Times New Roman" w:cs="Times New Roman"/>
                <w:sz w:val="18"/>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C91179" w14:textId="77777777" w:rsidR="00E83E7D" w:rsidRDefault="00000000">
            <w:pPr>
              <w:jc w:val="center"/>
            </w:pPr>
            <w:r>
              <w:rPr>
                <w:rFonts w:ascii="Times New Roman" w:eastAsia="Times New Roman" w:hAnsi="Times New Roman" w:cs="Times New Roman"/>
                <w:sz w:val="18"/>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B02CD7" w14:textId="77777777" w:rsidR="00E83E7D" w:rsidRDefault="00000000">
            <w:pPr>
              <w:jc w:val="center"/>
            </w:pPr>
            <w:r>
              <w:rPr>
                <w:rFonts w:ascii="Times New Roman" w:eastAsia="Times New Roman" w:hAnsi="Times New Roman" w:cs="Times New Roman"/>
                <w:sz w:val="18"/>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B524CC" w14:textId="77777777" w:rsidR="00E83E7D" w:rsidRDefault="00000000">
            <w:pPr>
              <w:jc w:val="center"/>
            </w:pPr>
            <w:r>
              <w:rPr>
                <w:rFonts w:ascii="Times New Roman" w:eastAsia="Times New Roman" w:hAnsi="Times New Roman" w:cs="Times New Roman"/>
                <w:sz w:val="18"/>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18725" w14:textId="77777777" w:rsidR="00E83E7D" w:rsidRDefault="00000000">
            <w:pPr>
              <w:jc w:val="center"/>
            </w:pPr>
            <w:r>
              <w:rPr>
                <w:rFonts w:ascii="Times New Roman" w:eastAsia="Times New Roman" w:hAnsi="Times New Roman" w:cs="Times New Roman"/>
                <w:sz w:val="18"/>
              </w:rPr>
              <w:t>75</w:t>
            </w:r>
          </w:p>
        </w:tc>
      </w:tr>
      <w:tr w:rsidR="00E83E7D" w14:paraId="50FFC3F8" w14:textId="77777777">
        <w:tblPrEx>
          <w:tblCellMar>
            <w:top w:w="0" w:type="dxa"/>
            <w:bottom w:w="0" w:type="dxa"/>
          </w:tblCellMar>
        </w:tblPrEx>
        <w:trPr>
          <w:trHeight w:val="300"/>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FD1F2C" w14:textId="77777777" w:rsidR="00E83E7D" w:rsidRDefault="00000000">
            <w:pPr>
              <w:jc w:val="both"/>
            </w:pPr>
            <w:r>
              <w:rPr>
                <w:rFonts w:ascii="Times New Roman" w:eastAsia="Times New Roman" w:hAnsi="Times New Roman" w:cs="Times New Roman"/>
                <w:sz w:val="18"/>
              </w:rPr>
              <w:t>EU average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A1A6D0" w14:textId="77777777" w:rsidR="00E83E7D" w:rsidRDefault="00000000">
            <w:pPr>
              <w:jc w:val="center"/>
            </w:pPr>
            <w:r>
              <w:rPr>
                <w:rFonts w:ascii="Times New Roman" w:eastAsia="Times New Roman" w:hAnsi="Times New Roman" w:cs="Times New Roman"/>
                <w:sz w:val="18"/>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894C82" w14:textId="77777777" w:rsidR="00E83E7D" w:rsidRDefault="00000000">
            <w:pPr>
              <w:jc w:val="center"/>
            </w:pPr>
            <w:r>
              <w:rPr>
                <w:rFonts w:ascii="Times New Roman" w:eastAsia="Times New Roman" w:hAnsi="Times New Roman" w:cs="Times New Roman"/>
                <w:sz w:val="18"/>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8F3FD" w14:textId="77777777" w:rsidR="00E83E7D" w:rsidRDefault="00000000">
            <w:pPr>
              <w:jc w:val="center"/>
            </w:pPr>
            <w:r>
              <w:rPr>
                <w:rFonts w:ascii="Times New Roman" w:eastAsia="Times New Roman" w:hAnsi="Times New Roman" w:cs="Times New Roman"/>
                <w:sz w:val="18"/>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505CE" w14:textId="77777777" w:rsidR="00E83E7D" w:rsidRDefault="00000000">
            <w:pPr>
              <w:jc w:val="center"/>
            </w:pPr>
            <w:r>
              <w:rPr>
                <w:rFonts w:ascii="Times New Roman" w:eastAsia="Times New Roman" w:hAnsi="Times New Roman" w:cs="Times New Roman"/>
                <w:sz w:val="18"/>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7C81F6" w14:textId="77777777" w:rsidR="00E83E7D" w:rsidRDefault="00000000">
            <w:pPr>
              <w:jc w:val="center"/>
            </w:pPr>
            <w:r>
              <w:rPr>
                <w:rFonts w:ascii="Times New Roman" w:eastAsia="Times New Roman" w:hAnsi="Times New Roman" w:cs="Times New Roman"/>
                <w:sz w:val="18"/>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9270D8" w14:textId="77777777" w:rsidR="00E83E7D" w:rsidRDefault="00000000">
            <w:pPr>
              <w:jc w:val="center"/>
            </w:pPr>
            <w:r>
              <w:rPr>
                <w:rFonts w:ascii="Times New Roman" w:eastAsia="Times New Roman" w:hAnsi="Times New Roman" w:cs="Times New Roman"/>
                <w:sz w:val="18"/>
              </w:rPr>
              <w:t>77</w:t>
            </w:r>
          </w:p>
        </w:tc>
      </w:tr>
    </w:tbl>
    <w:p w14:paraId="7F0DCF17" w14:textId="77777777" w:rsidR="00E83E7D" w:rsidRDefault="00000000">
      <w:pPr>
        <w:jc w:val="center"/>
      </w:pPr>
      <w:r>
        <w:rPr>
          <w:rFonts w:ascii="Times New Roman" w:eastAsia="Times New Roman" w:hAnsi="Times New Roman" w:cs="Times New Roman"/>
          <w:sz w:val="16"/>
        </w:rPr>
        <w:t>Source: Eurostat</w:t>
      </w:r>
    </w:p>
    <w:p w14:paraId="4FCEA8EE" w14:textId="77777777" w:rsidR="00E83E7D" w:rsidRDefault="00E83E7D">
      <w:pPr>
        <w:jc w:val="both"/>
      </w:pPr>
    </w:p>
    <w:p w14:paraId="46338ACD" w14:textId="77777777" w:rsidR="00E83E7D" w:rsidRDefault="00000000">
      <w:pPr>
        <w:jc w:val="both"/>
      </w:pPr>
      <w:r>
        <w:rPr>
          <w:rFonts w:ascii="Times New Roman" w:eastAsia="Times New Roman" w:hAnsi="Times New Roman" w:cs="Times New Roman"/>
          <w:sz w:val="20"/>
        </w:rPr>
        <w:t xml:space="preserve">      </w:t>
      </w:r>
    </w:p>
    <w:p w14:paraId="4260BA3B" w14:textId="77777777" w:rsidR="00E83E7D" w:rsidRDefault="00000000">
      <w:pPr>
        <w:jc w:val="both"/>
      </w:pPr>
      <w:r>
        <w:rPr>
          <w:rFonts w:ascii="Times New Roman" w:eastAsia="Times New Roman" w:hAnsi="Times New Roman" w:cs="Times New Roman"/>
          <w:sz w:val="20"/>
        </w:rPr>
        <w:lastRenderedPageBreak/>
        <w:t xml:space="preserve">      We can conclude that there is a need for a highly educated workforce in Serbia, that higher education increases the chances of employment and reduces the risk of unemployment, and that the massification of higher education is an indigenous need of the labor market in Serbia, as well as in the EU.</w:t>
      </w:r>
    </w:p>
    <w:p w14:paraId="13D54885" w14:textId="77777777" w:rsidR="00E83E7D" w:rsidRDefault="00000000">
      <w:pPr>
        <w:jc w:val="both"/>
      </w:pPr>
      <w:r>
        <w:rPr>
          <w:rFonts w:ascii="Times New Roman" w:eastAsia="Times New Roman" w:hAnsi="Times New Roman" w:cs="Times New Roman"/>
          <w:sz w:val="20"/>
        </w:rPr>
        <w:t xml:space="preserve">      However, it remains an open question </w:t>
      </w:r>
      <w:r>
        <w:rPr>
          <w:rFonts w:ascii="Times New Roman" w:eastAsia="Times New Roman" w:hAnsi="Times New Roman" w:cs="Times New Roman"/>
          <w:i/>
          <w:sz w:val="20"/>
        </w:rPr>
        <w:t>whether the mass of higher education simultaneously implies equal access to education for all, i.e. whether higher education functions as a channel of social promotion (social mobility) or through the selection of students (and the absence of organized support for studying of all social strata) reproduces inequalities in wider society</w:t>
      </w:r>
      <w:r>
        <w:rPr>
          <w:rFonts w:ascii="Times New Roman" w:eastAsia="Times New Roman" w:hAnsi="Times New Roman" w:cs="Times New Roman"/>
          <w:sz w:val="20"/>
        </w:rPr>
        <w:t>.</w:t>
      </w:r>
    </w:p>
    <w:p w14:paraId="784BDD0C" w14:textId="77777777" w:rsidR="00E83E7D" w:rsidRDefault="00000000">
      <w:pPr>
        <w:spacing w:before="480" w:after="120"/>
        <w:jc w:val="center"/>
      </w:pPr>
      <w:r>
        <w:rPr>
          <w:rFonts w:ascii="Times New Roman" w:eastAsia="Times New Roman" w:hAnsi="Times New Roman" w:cs="Times New Roman"/>
          <w:smallCaps/>
          <w:sz w:val="20"/>
        </w:rPr>
        <w:t>3. SOCIAL DIMENSION OF HIGHER EDUCATION</w:t>
      </w:r>
    </w:p>
    <w:p w14:paraId="116C012F" w14:textId="77777777" w:rsidR="00E83E7D" w:rsidRDefault="00000000">
      <w:pPr>
        <w:ind w:firstLine="284"/>
        <w:jc w:val="both"/>
      </w:pPr>
      <w:r>
        <w:rPr>
          <w:rFonts w:ascii="Times New Roman" w:eastAsia="Times New Roman" w:hAnsi="Times New Roman" w:cs="Times New Roman"/>
          <w:sz w:val="20"/>
        </w:rPr>
        <w:t>Higher education in modern society becomes an ideal that everyone aspires to, but which is realistic for some and unattainable for many. In the classic elite model of higher education, it could be argued that children from the most educated, rich, affluent families, from families that emphasize the importance of higher education, with high aspirations and a strong motivation for learning, study. According to Weber, who describes the education or scientific process at a Humboldt-type university, training for scientific research work at German universities was limited only to the intellectual aristocracy (see Popović, Đorić, 2011, p. 309). Until the beginning of the 20th century, higher education was a privilege of the upper classes, so aristocrats and the sons of wealthier representatives of the third estate could go to university (whose motivation for acquiring a university education was driven by the need to educate the spirit, to cultivate taste and build a style, not the need to acquire professional knowledge and preparation for performing some professional activity). The doors of the university were closed to women, regardless of social origin, lower classes and ethnic and racial minorities. During the 19th century, a very small number of students were recruited from that narrow base, whose number increased significantly only after the First World War (Popović, Đorić, 2011, p. 313).</w:t>
      </w:r>
    </w:p>
    <w:p w14:paraId="77762A3C" w14:textId="77777777" w:rsidR="00E83E7D" w:rsidRDefault="00000000">
      <w:pPr>
        <w:ind w:firstLine="284"/>
        <w:jc w:val="both"/>
      </w:pPr>
      <w:r>
        <w:rPr>
          <w:rFonts w:ascii="Times New Roman" w:eastAsia="Times New Roman" w:hAnsi="Times New Roman" w:cs="Times New Roman"/>
          <w:sz w:val="20"/>
        </w:rPr>
        <w:t xml:space="preserve">In the last few dozen years, as part of the Bologna Process (started by the </w:t>
      </w:r>
      <w:r>
        <w:rPr>
          <w:rFonts w:ascii="Times New Roman" w:eastAsia="Times New Roman" w:hAnsi="Times New Roman" w:cs="Times New Roman"/>
          <w:i/>
          <w:sz w:val="20"/>
        </w:rPr>
        <w:t>Rectors' Conference of Europe</w:t>
      </w:r>
      <w:r>
        <w:rPr>
          <w:rFonts w:ascii="Times New Roman" w:eastAsia="Times New Roman" w:hAnsi="Times New Roman" w:cs="Times New Roman"/>
          <w:sz w:val="20"/>
        </w:rPr>
        <w:t xml:space="preserve"> in 1999), the "social dimension" of higher education, according to which students can enroll and complete their studies without obstacles related to, among other things, their socioeconomic status. In a large number of transnational and national policies, declarations or development strategies adopted since 2000, the social dimension is unavoidable (</w:t>
      </w:r>
      <w:r>
        <w:rPr>
          <w:rFonts w:ascii="Symbol" w:eastAsia="Symbol" w:hAnsi="Symbol" w:cs="Symbol"/>
          <w:sz w:val="20"/>
        </w:rPr>
        <w:t></w:t>
      </w:r>
      <w:r>
        <w:rPr>
          <w:rFonts w:ascii="Times New Roman" w:eastAsia="Times New Roman" w:hAnsi="Times New Roman" w:cs="Times New Roman"/>
          <w:sz w:val="20"/>
        </w:rPr>
        <w:t>2</w:t>
      </w:r>
      <w:r>
        <w:rPr>
          <w:rFonts w:ascii="Symbol" w:eastAsia="Symbol" w:hAnsi="Symbol" w:cs="Symbol"/>
          <w:sz w:val="20"/>
        </w:rPr>
        <w:t></w:t>
      </w:r>
      <w:r>
        <w:rPr>
          <w:rFonts w:ascii="Times New Roman" w:eastAsia="Times New Roman" w:hAnsi="Times New Roman" w:cs="Times New Roman"/>
          <w:sz w:val="20"/>
        </w:rPr>
        <w:t xml:space="preserve">: Divljak, Horvatek, Vidaček-Hainš, 2008, p. 2). Thus, for example, it is stated in the </w:t>
      </w:r>
      <w:r>
        <w:rPr>
          <w:rFonts w:ascii="Times New Roman" w:eastAsia="Times New Roman" w:hAnsi="Times New Roman" w:cs="Times New Roman"/>
          <w:i/>
          <w:sz w:val="20"/>
        </w:rPr>
        <w:t>Treaty of Lisbon</w:t>
      </w:r>
      <w:r>
        <w:rPr>
          <w:rFonts w:ascii="Times New Roman" w:eastAsia="Times New Roman" w:hAnsi="Times New Roman" w:cs="Times New Roman"/>
          <w:sz w:val="20"/>
        </w:rPr>
        <w:t xml:space="preserve"> that work will primarily be done on "the elimination of all inequalities and the promotion of equality between women and men" </w:t>
      </w:r>
      <w:r>
        <w:rPr>
          <w:rFonts w:ascii="Symbol" w:eastAsia="Symbol" w:hAnsi="Symbol" w:cs="Symbol"/>
          <w:sz w:val="20"/>
        </w:rPr>
        <w:t></w:t>
      </w:r>
      <w:r>
        <w:rPr>
          <w:rFonts w:ascii="Times New Roman" w:eastAsia="Times New Roman" w:hAnsi="Times New Roman" w:cs="Times New Roman"/>
          <w:sz w:val="20"/>
        </w:rPr>
        <w:t>3 (Article 8)</w:t>
      </w:r>
      <w:r>
        <w:rPr>
          <w:rFonts w:ascii="Symbol" w:eastAsia="Symbol" w:hAnsi="Symbol" w:cs="Symbol"/>
          <w:sz w:val="20"/>
        </w:rPr>
        <w:t></w:t>
      </w:r>
      <w:r>
        <w:rPr>
          <w:rFonts w:ascii="Times New Roman" w:eastAsia="Times New Roman" w:hAnsi="Times New Roman" w:cs="Times New Roman"/>
          <w:sz w:val="20"/>
        </w:rPr>
        <w:t xml:space="preserve">; "...promotion of equal opportunities, adequate social protection, fight against social exclusion, right to higher education" </w:t>
      </w:r>
      <w:r>
        <w:rPr>
          <w:rFonts w:ascii="Symbol" w:eastAsia="Symbol" w:hAnsi="Symbol" w:cs="Symbol"/>
          <w:sz w:val="20"/>
        </w:rPr>
        <w:t></w:t>
      </w:r>
      <w:r>
        <w:rPr>
          <w:rFonts w:ascii="Times New Roman" w:eastAsia="Times New Roman" w:hAnsi="Times New Roman" w:cs="Times New Roman"/>
          <w:sz w:val="20"/>
        </w:rPr>
        <w:t>3 (Article 9)</w:t>
      </w:r>
      <w:r>
        <w:rPr>
          <w:rFonts w:ascii="Symbol" w:eastAsia="Symbol" w:hAnsi="Symbol" w:cs="Symbol"/>
          <w:sz w:val="20"/>
        </w:rPr>
        <w:t></w:t>
      </w:r>
      <w:r>
        <w:rPr>
          <w:rFonts w:ascii="Times New Roman" w:eastAsia="Times New Roman" w:hAnsi="Times New Roman" w:cs="Times New Roman"/>
          <w:sz w:val="20"/>
        </w:rPr>
        <w:t>.</w:t>
      </w:r>
    </w:p>
    <w:p w14:paraId="0B3F288D" w14:textId="77777777" w:rsidR="00E83E7D" w:rsidRDefault="00000000">
      <w:pPr>
        <w:ind w:firstLine="284"/>
        <w:jc w:val="both"/>
      </w:pPr>
      <w:r>
        <w:rPr>
          <w:rFonts w:ascii="Times New Roman" w:eastAsia="Times New Roman" w:hAnsi="Times New Roman" w:cs="Times New Roman"/>
          <w:sz w:val="20"/>
        </w:rPr>
        <w:t xml:space="preserve">The members of the </w:t>
      </w:r>
      <w:r>
        <w:rPr>
          <w:rFonts w:ascii="Times New Roman" w:eastAsia="Times New Roman" w:hAnsi="Times New Roman" w:cs="Times New Roman"/>
          <w:i/>
          <w:sz w:val="20"/>
        </w:rPr>
        <w:t>European Universities' Association</w:t>
      </w:r>
      <w:r>
        <w:rPr>
          <w:rFonts w:ascii="Times New Roman" w:eastAsia="Times New Roman" w:hAnsi="Times New Roman" w:cs="Times New Roman"/>
          <w:sz w:val="20"/>
        </w:rPr>
        <w:t xml:space="preserve"> (EUA) committed to the documents "European Universities Charter on Lifelong Learning" that: "European universities are aware of the diversity and individual needs of students, and are responsible for adapting study programs and learning outcomes respecting a student-centred approach to teaching". On the other hand, UNESCO's organization for higher education, the </w:t>
      </w:r>
      <w:r>
        <w:rPr>
          <w:rFonts w:ascii="Times New Roman" w:eastAsia="Times New Roman" w:hAnsi="Times New Roman" w:cs="Times New Roman"/>
          <w:i/>
          <w:sz w:val="20"/>
        </w:rPr>
        <w:t>International Association of Universities</w:t>
      </w:r>
      <w:r>
        <w:rPr>
          <w:rFonts w:ascii="Times New Roman" w:eastAsia="Times New Roman" w:hAnsi="Times New Roman" w:cs="Times New Roman"/>
          <w:sz w:val="20"/>
        </w:rPr>
        <w:t xml:space="preserve">, published the recommendation "Equitable Access, Success and Quality in Higher Education", which aims to "influence an increase in the percentage of the population with a degree of higher education as well as enable </w:t>
      </w:r>
      <w:r>
        <w:rPr>
          <w:rFonts w:ascii="Times New Roman" w:eastAsia="Times New Roman" w:hAnsi="Times New Roman" w:cs="Times New Roman"/>
          <w:sz w:val="20"/>
        </w:rPr>
        <w:lastRenderedPageBreak/>
        <w:t xml:space="preserve">expanding access to higher education to people who are underrepresented due to socio-economic status, race, nationality, age, religion, gender or degree of disability" (Thomas, Quinn, 2003). It is expected that changes in the education system aimed at increasing inclusiveness will significantly increase the availability and quality of education for children and students from socially unstimulating environments (Roma, poor, rural, displaced), children and adults with developmental disabilities and disabilities, children with difficulties in learning, primarily within the regular education system (see </w:t>
      </w:r>
      <w:r>
        <w:rPr>
          <w:rFonts w:ascii="Symbol" w:eastAsia="Symbol" w:hAnsi="Symbol" w:cs="Symbol"/>
          <w:sz w:val="20"/>
        </w:rPr>
        <w:t></w:t>
      </w:r>
      <w:r>
        <w:rPr>
          <w:rFonts w:ascii="Times New Roman" w:eastAsia="Times New Roman" w:hAnsi="Times New Roman" w:cs="Times New Roman"/>
          <w:sz w:val="20"/>
        </w:rPr>
        <w:t>4</w:t>
      </w:r>
      <w:r>
        <w:rPr>
          <w:rFonts w:ascii="Symbol" w:eastAsia="Symbol" w:hAnsi="Symbol" w:cs="Symbol"/>
          <w:sz w:val="20"/>
        </w:rPr>
        <w:t></w:t>
      </w:r>
      <w:r>
        <w:rPr>
          <w:rFonts w:ascii="Times New Roman" w:eastAsia="Times New Roman" w:hAnsi="Times New Roman" w:cs="Times New Roman"/>
          <w:sz w:val="20"/>
        </w:rPr>
        <w:t>).</w:t>
      </w:r>
    </w:p>
    <w:p w14:paraId="11035A4E" w14:textId="77777777" w:rsidR="00E83E7D" w:rsidRDefault="00000000">
      <w:pPr>
        <w:ind w:firstLine="284"/>
        <w:jc w:val="both"/>
      </w:pPr>
      <w:r>
        <w:rPr>
          <w:rFonts w:ascii="Times New Roman" w:eastAsia="Times New Roman" w:hAnsi="Times New Roman" w:cs="Times New Roman"/>
          <w:sz w:val="20"/>
        </w:rPr>
        <w:t xml:space="preserve">In Serbia, according to Article 3 of the </w:t>
      </w:r>
      <w:r>
        <w:rPr>
          <w:rFonts w:ascii="Times New Roman" w:eastAsia="Times New Roman" w:hAnsi="Times New Roman" w:cs="Times New Roman"/>
          <w:i/>
          <w:sz w:val="20"/>
        </w:rPr>
        <w:t>Law on the Basics of the Education and Training System</w:t>
      </w:r>
      <w:r>
        <w:rPr>
          <w:rFonts w:ascii="Times New Roman" w:eastAsia="Times New Roman" w:hAnsi="Times New Roman" w:cs="Times New Roman"/>
          <w:sz w:val="20"/>
        </w:rPr>
        <w:t xml:space="preserve"> (from 2009/2011/2013), the education and training system must provide for all children, pupils and adults (students): equal right and access to education and education without discrimination and segregation on the basis of gender, social, cultural, ethnic, religious or other affiliation, place of residence, i.e. residence, material or health condition, difficulties and hindrances in development and disability, as well as on other grounds ("Official Gazette of the RS », No. 72/2009, 52/2011 and 55/2013).</w:t>
      </w:r>
    </w:p>
    <w:p w14:paraId="48AC14D6" w14:textId="77777777" w:rsidR="00E83E7D" w:rsidRDefault="00000000">
      <w:pPr>
        <w:ind w:firstLine="284"/>
        <w:jc w:val="both"/>
      </w:pPr>
      <w:r>
        <w:rPr>
          <w:rFonts w:ascii="Times New Roman" w:eastAsia="Times New Roman" w:hAnsi="Times New Roman" w:cs="Times New Roman"/>
          <w:sz w:val="20"/>
        </w:rPr>
        <w:t>Despite these declarations, today there are many young people in the world who, due to social inequality, are unable to start or continue their education and, precisely because of this, remain on the margins of social life (Laketa, 2010, p. 98). In the overview paper "Global Education Expansion and Socio-Economic Development", the authors Hannum and Buchmann refer to several studies that warn of the fact that the expansion of education in developed and developing countries does not reduce the relative advantages of students from more elite social strata over students from lower socioeconomic strata, students with special needs or other underrepresented groups of students (Hannum, Buchmann, 2005, p. 333–354). Research in Britain has shown that with the acceptance of the neoliberal model of social development, the opportunity for children from working-class and middle-class families to study at prestigious universities decreases. It is important to emphasize, based on the findings so far, that the student population is not a reflection of the structure of society, but rather a reflection of the structure of the higher layers of society, in any case layers with greater economic or cultural capital.</w:t>
      </w:r>
    </w:p>
    <w:p w14:paraId="0CA83FEB" w14:textId="77777777" w:rsidR="00E83E7D" w:rsidRDefault="00000000">
      <w:pPr>
        <w:ind w:firstLine="284"/>
        <w:jc w:val="both"/>
      </w:pPr>
      <w:r>
        <w:rPr>
          <w:rFonts w:ascii="Times New Roman" w:eastAsia="Times New Roman" w:hAnsi="Times New Roman" w:cs="Times New Roman"/>
          <w:sz w:val="20"/>
        </w:rPr>
        <w:t>Until now, there has been no equal access to higher education in Serbia, considering that among the enrolled students there are fewer and fewer of those from poor families and vulnerable groups. Young people from the middle class and those who live in urban areas enroll in the faculty, while there are fewer and fewer students from rural areas. ...According to the words of Slobodan Cvejić, a professor from the University of Belgrade, the number of students in Serbia is growing year by year, but children from the countryside and from poor families participate less and less in the student population. Data from 2007 suggest a lower inclusion in higher education of young people from the poorest families (14% compared to an average of 39%) and young people from the least educated families (19% compared to an average of 39%). (see Inclusive education: The path of development, 2008, p. 48).</w:t>
      </w:r>
    </w:p>
    <w:p w14:paraId="2DA8DC9C" w14:textId="77777777" w:rsidR="00E83E7D" w:rsidRDefault="00000000">
      <w:pPr>
        <w:ind w:firstLine="284"/>
        <w:jc w:val="both"/>
      </w:pPr>
      <w:r>
        <w:rPr>
          <w:rFonts w:ascii="Times New Roman" w:eastAsia="Times New Roman" w:hAnsi="Times New Roman" w:cs="Times New Roman"/>
          <w:sz w:val="20"/>
        </w:rPr>
        <w:t>In the rest of the text, a comparative coverage of the higher education of students of different social backgrounds in Serbia (represented by occupation and education of parents) in 2010 and 2019 is given.</w:t>
      </w:r>
    </w:p>
    <w:p w14:paraId="42241607" w14:textId="77777777" w:rsidR="00E83E7D" w:rsidRDefault="00E83E7D">
      <w:pPr>
        <w:ind w:firstLine="284"/>
        <w:jc w:val="both"/>
      </w:pPr>
    </w:p>
    <w:p w14:paraId="7D6DDDB6" w14:textId="77777777" w:rsidR="00E83E7D" w:rsidRDefault="00E83E7D">
      <w:pPr>
        <w:ind w:firstLine="284"/>
        <w:jc w:val="both"/>
      </w:pPr>
    </w:p>
    <w:p w14:paraId="7ADF80C8" w14:textId="77777777" w:rsidR="00E83E7D" w:rsidRDefault="00E83E7D">
      <w:pPr>
        <w:ind w:firstLine="284"/>
        <w:jc w:val="both"/>
      </w:pPr>
    </w:p>
    <w:p w14:paraId="6B5C679F" w14:textId="77777777" w:rsidR="00E83E7D" w:rsidRDefault="00E83E7D">
      <w:pPr>
        <w:ind w:firstLine="284"/>
        <w:jc w:val="both"/>
      </w:pPr>
    </w:p>
    <w:p w14:paraId="4B8D9AB3" w14:textId="77777777" w:rsidR="00E83E7D" w:rsidRDefault="00000000" w:rsidP="003155C9">
      <w:pPr>
        <w:keepNext/>
        <w:keepLines/>
        <w:widowControl/>
        <w:ind w:firstLine="284"/>
        <w:jc w:val="both"/>
      </w:pPr>
      <w:r>
        <w:rPr>
          <w:rFonts w:ascii="Times New Roman" w:eastAsia="Times New Roman" w:hAnsi="Times New Roman" w:cs="Times New Roman"/>
          <w:i/>
          <w:sz w:val="20"/>
        </w:rPr>
        <w:lastRenderedPageBreak/>
        <w:t>Parents' occupation</w:t>
      </w:r>
    </w:p>
    <w:p w14:paraId="2204B989" w14:textId="77777777" w:rsidR="00E83E7D" w:rsidRDefault="00000000">
      <w:pPr>
        <w:ind w:firstLine="284"/>
        <w:jc w:val="both"/>
      </w:pPr>
      <w:r>
        <w:rPr>
          <w:rFonts w:ascii="Times New Roman" w:eastAsia="Times New Roman" w:hAnsi="Times New Roman" w:cs="Times New Roman"/>
          <w:sz w:val="20"/>
        </w:rPr>
        <w:t>The share of students whose parents are businessmen, managers and officials (62%) is almost twice as high as the share of experts, managers and officials in the general population (33%), in 2010.</w:t>
      </w:r>
    </w:p>
    <w:p w14:paraId="2A4E73C5" w14:textId="77777777" w:rsidR="00E83E7D" w:rsidRDefault="00E83E7D">
      <w:pPr>
        <w:ind w:firstLine="284"/>
        <w:jc w:val="both"/>
      </w:pPr>
    </w:p>
    <w:p w14:paraId="1EBC0C7C" w14:textId="77777777" w:rsidR="00E83E7D" w:rsidRDefault="00000000">
      <w:pPr>
        <w:ind w:firstLine="284"/>
        <w:jc w:val="center"/>
      </w:pPr>
      <w:r>
        <w:rPr>
          <w:rFonts w:ascii="Times New Roman" w:eastAsia="Times New Roman" w:hAnsi="Times New Roman" w:cs="Times New Roman"/>
          <w:b/>
          <w:sz w:val="20"/>
        </w:rPr>
        <w:t>Table 7</w:t>
      </w:r>
      <w:r>
        <w:rPr>
          <w:rFonts w:ascii="Times New Roman" w:eastAsia="Times New Roman" w:hAnsi="Times New Roman" w:cs="Times New Roman"/>
          <w:sz w:val="20"/>
        </w:rPr>
        <w:t xml:space="preserve"> Occupation in the entire population and among students' parents %,</w:t>
      </w:r>
    </w:p>
    <w:p w14:paraId="2F37A234" w14:textId="77777777" w:rsidR="00E83E7D" w:rsidRDefault="00000000">
      <w:pPr>
        <w:ind w:firstLine="284"/>
        <w:jc w:val="center"/>
      </w:pPr>
      <w:r>
        <w:rPr>
          <w:rFonts w:ascii="Times New Roman" w:eastAsia="Times New Roman" w:hAnsi="Times New Roman" w:cs="Times New Roman"/>
          <w:sz w:val="20"/>
        </w:rPr>
        <w:t>according to the Labor Force Survey 2010, 2019 and the ŠV form</w:t>
      </w:r>
    </w:p>
    <w:tbl>
      <w:tblPr>
        <w:tblW w:w="6935" w:type="dxa"/>
        <w:jc w:val="center"/>
        <w:tblLayout w:type="fixed"/>
        <w:tblCellMar>
          <w:left w:w="10" w:type="dxa"/>
          <w:right w:w="10" w:type="dxa"/>
        </w:tblCellMar>
        <w:tblLook w:val="0000" w:firstRow="0" w:lastRow="0" w:firstColumn="0" w:lastColumn="0" w:noHBand="0" w:noVBand="0"/>
      </w:tblPr>
      <w:tblGrid>
        <w:gridCol w:w="3070"/>
        <w:gridCol w:w="888"/>
        <w:gridCol w:w="993"/>
        <w:gridCol w:w="992"/>
        <w:gridCol w:w="992"/>
      </w:tblGrid>
      <w:tr w:rsidR="00E83E7D" w14:paraId="263975A9" w14:textId="77777777">
        <w:tblPrEx>
          <w:tblCellMar>
            <w:top w:w="0" w:type="dxa"/>
            <w:bottom w:w="0" w:type="dxa"/>
          </w:tblCellMar>
        </w:tblPrEx>
        <w:trPr>
          <w:jc w:val="center"/>
        </w:trPr>
        <w:tc>
          <w:tcPr>
            <w:tcW w:w="3070" w:type="dxa"/>
            <w:tcBorders>
              <w:top w:val="single" w:sz="4" w:space="0" w:color="000000"/>
              <w:left w:val="single" w:sz="4" w:space="0" w:color="000000"/>
              <w:bottom w:val="single" w:sz="2" w:space="0" w:color="000000"/>
              <w:right w:val="single" w:sz="4" w:space="0" w:color="000000"/>
            </w:tcBorders>
            <w:shd w:val="clear" w:color="auto" w:fill="FFFFFF"/>
            <w:tcMar>
              <w:left w:w="108" w:type="dxa"/>
              <w:right w:w="108" w:type="dxa"/>
            </w:tcMar>
          </w:tcPr>
          <w:p w14:paraId="04565E5D" w14:textId="77777777" w:rsidR="00E83E7D" w:rsidRDefault="00E83E7D">
            <w:pPr>
              <w:ind w:firstLine="284"/>
              <w:jc w:val="both"/>
            </w:pPr>
          </w:p>
        </w:tc>
        <w:tc>
          <w:tcPr>
            <w:tcW w:w="188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ED57A" w14:textId="77777777" w:rsidR="00E83E7D" w:rsidRDefault="00000000">
            <w:pPr>
              <w:jc w:val="both"/>
            </w:pPr>
            <w:r>
              <w:rPr>
                <w:rFonts w:ascii="Times New Roman" w:eastAsia="Times New Roman" w:hAnsi="Times New Roman" w:cs="Times New Roman"/>
                <w:sz w:val="18"/>
              </w:rPr>
              <w:t>Employees in Serbia</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006BEF" w14:textId="77777777" w:rsidR="00E83E7D" w:rsidRDefault="00000000">
            <w:pPr>
              <w:ind w:firstLine="284"/>
              <w:jc w:val="both"/>
            </w:pPr>
            <w:r>
              <w:rPr>
                <w:rFonts w:ascii="Times New Roman" w:eastAsia="Times New Roman" w:hAnsi="Times New Roman" w:cs="Times New Roman"/>
                <w:sz w:val="18"/>
              </w:rPr>
              <w:t>Parents of students</w:t>
            </w:r>
          </w:p>
        </w:tc>
      </w:tr>
      <w:tr w:rsidR="00E83E7D" w14:paraId="0B1A0D2B" w14:textId="77777777">
        <w:tblPrEx>
          <w:tblCellMar>
            <w:top w:w="0" w:type="dxa"/>
            <w:bottom w:w="0" w:type="dxa"/>
          </w:tblCellMar>
        </w:tblPrEx>
        <w:trPr>
          <w:jc w:val="center"/>
        </w:trPr>
        <w:tc>
          <w:tcPr>
            <w:tcW w:w="307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639E6D" w14:textId="77777777" w:rsidR="00E83E7D" w:rsidRDefault="00E83E7D">
            <w:pPr>
              <w:ind w:firstLine="284"/>
              <w:jc w:val="both"/>
            </w:pP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59C180C1" w14:textId="77777777" w:rsidR="00E83E7D" w:rsidRDefault="00000000">
            <w:pPr>
              <w:ind w:firstLine="284"/>
              <w:jc w:val="both"/>
            </w:pPr>
            <w:r>
              <w:rPr>
                <w:rFonts w:ascii="Times New Roman" w:eastAsia="Times New Roman" w:hAnsi="Times New Roman" w:cs="Times New Roman"/>
                <w:b/>
                <w:sz w:val="18"/>
              </w:rPr>
              <w:t>2010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55F0D" w14:textId="77777777" w:rsidR="00E83E7D" w:rsidRDefault="00000000">
            <w:pPr>
              <w:ind w:firstLine="284"/>
              <w:jc w:val="both"/>
            </w:pPr>
            <w:r>
              <w:rPr>
                <w:rFonts w:ascii="Times New Roman" w:eastAsia="Times New Roman" w:hAnsi="Times New Roman" w:cs="Times New Roman"/>
                <w:b/>
                <w:sz w:val="18"/>
              </w:rPr>
              <w:t>2019</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04CC67FE" w14:textId="77777777" w:rsidR="00E83E7D" w:rsidRDefault="00000000">
            <w:pPr>
              <w:ind w:firstLine="284"/>
              <w:jc w:val="both"/>
            </w:pPr>
            <w:r>
              <w:rPr>
                <w:rFonts w:ascii="Times New Roman" w:eastAsia="Times New Roman" w:hAnsi="Times New Roman" w:cs="Times New Roman"/>
                <w:b/>
                <w:sz w:val="18"/>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BE2EE6" w14:textId="77777777" w:rsidR="00E83E7D" w:rsidRDefault="00000000">
            <w:pPr>
              <w:ind w:firstLine="284"/>
              <w:jc w:val="both"/>
            </w:pPr>
            <w:r>
              <w:rPr>
                <w:rFonts w:ascii="Times New Roman" w:eastAsia="Times New Roman" w:hAnsi="Times New Roman" w:cs="Times New Roman"/>
                <w:b/>
                <w:sz w:val="18"/>
              </w:rPr>
              <w:t>2019</w:t>
            </w:r>
          </w:p>
        </w:tc>
      </w:tr>
      <w:tr w:rsidR="00E83E7D" w14:paraId="04B8BA0F"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77D569" w14:textId="77777777" w:rsidR="00E83E7D" w:rsidRDefault="00000000">
            <w:pPr>
              <w:ind w:firstLine="284"/>
              <w:jc w:val="both"/>
            </w:pPr>
            <w:r>
              <w:rPr>
                <w:rFonts w:ascii="Times New Roman" w:eastAsia="Times New Roman" w:hAnsi="Times New Roman" w:cs="Times New Roman"/>
                <w:sz w:val="18"/>
              </w:rPr>
              <w:t>Owners, officers and managers</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6D42C5C1" w14:textId="77777777" w:rsidR="00E83E7D" w:rsidRDefault="00000000">
            <w:pPr>
              <w:ind w:firstLine="284"/>
            </w:pPr>
            <w:r>
              <w:rPr>
                <w:rFonts w:ascii="Times New Roman" w:eastAsia="Times New Roman" w:hAnsi="Times New Roman" w:cs="Times New Roman"/>
                <w:sz w:val="18"/>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A96830" w14:textId="77777777" w:rsidR="00E83E7D" w:rsidRDefault="00000000">
            <w:pPr>
              <w:ind w:firstLine="284"/>
            </w:pPr>
            <w:r>
              <w:rPr>
                <w:rFonts w:ascii="Times New Roman" w:eastAsia="Times New Roman" w:hAnsi="Times New Roman" w:cs="Times New Roman"/>
                <w:sz w:val="18"/>
              </w:rPr>
              <w:t>1.82</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3F0ECE2F" w14:textId="77777777" w:rsidR="00E83E7D" w:rsidRDefault="00000000">
            <w:pPr>
              <w:ind w:firstLine="284"/>
            </w:pPr>
            <w:r>
              <w:rPr>
                <w:rFonts w:ascii="Times New Roman" w:eastAsia="Times New Roman" w:hAnsi="Times New Roman" w:cs="Times New Roman"/>
                <w:sz w:val="18"/>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08A543" w14:textId="77777777" w:rsidR="00E83E7D" w:rsidRDefault="00000000">
            <w:pPr>
              <w:ind w:firstLine="284"/>
            </w:pPr>
            <w:r>
              <w:rPr>
                <w:rFonts w:ascii="Times New Roman" w:eastAsia="Times New Roman" w:hAnsi="Times New Roman" w:cs="Times New Roman"/>
                <w:sz w:val="18"/>
              </w:rPr>
              <w:t>9.2</w:t>
            </w:r>
          </w:p>
        </w:tc>
      </w:tr>
      <w:tr w:rsidR="00E83E7D" w14:paraId="2CA381D3" w14:textId="77777777">
        <w:tblPrEx>
          <w:tblCellMar>
            <w:top w:w="0" w:type="dxa"/>
            <w:bottom w:w="0" w:type="dxa"/>
          </w:tblCellMar>
        </w:tblPrEx>
        <w:trPr>
          <w:jc w:val="center"/>
        </w:trPr>
        <w:tc>
          <w:tcPr>
            <w:tcW w:w="307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C68633" w14:textId="77777777" w:rsidR="00E83E7D" w:rsidRDefault="00000000">
            <w:pPr>
              <w:ind w:firstLine="284"/>
              <w:jc w:val="both"/>
            </w:pPr>
            <w:r>
              <w:rPr>
                <w:rFonts w:ascii="Times New Roman" w:eastAsia="Times New Roman" w:hAnsi="Times New Roman" w:cs="Times New Roman"/>
                <w:sz w:val="18"/>
              </w:rPr>
              <w:t>Experts</w:t>
            </w:r>
          </w:p>
        </w:tc>
        <w:tc>
          <w:tcPr>
            <w:tcW w:w="888" w:type="dxa"/>
            <w:tcBorders>
              <w:top w:val="single" w:sz="2" w:space="0" w:color="000000"/>
              <w:left w:val="single" w:sz="4" w:space="0" w:color="000000"/>
              <w:bottom w:val="single" w:sz="4" w:space="0" w:color="000000"/>
              <w:right w:val="single" w:sz="2" w:space="0" w:color="000000"/>
            </w:tcBorders>
            <w:shd w:val="clear" w:color="auto" w:fill="D9D9D9"/>
            <w:tcMar>
              <w:left w:w="108" w:type="dxa"/>
              <w:right w:w="108" w:type="dxa"/>
            </w:tcMar>
          </w:tcPr>
          <w:p w14:paraId="04172793" w14:textId="77777777" w:rsidR="00E83E7D" w:rsidRDefault="00000000">
            <w:pPr>
              <w:ind w:firstLine="284"/>
            </w:pPr>
            <w:r>
              <w:rPr>
                <w:rFonts w:ascii="Times New Roman" w:eastAsia="Times New Roman" w:hAnsi="Times New Roman" w:cs="Times New Roman"/>
                <w:sz w:val="18"/>
              </w:rPr>
              <w:t>27.3</w:t>
            </w:r>
          </w:p>
        </w:tc>
        <w:tc>
          <w:tcPr>
            <w:tcW w:w="993"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55EC1A" w14:textId="77777777" w:rsidR="00E83E7D" w:rsidRDefault="00000000">
            <w:pPr>
              <w:ind w:firstLine="284"/>
            </w:pPr>
            <w:r>
              <w:rPr>
                <w:rFonts w:ascii="Times New Roman" w:eastAsia="Times New Roman" w:hAnsi="Times New Roman" w:cs="Times New Roman"/>
                <w:sz w:val="18"/>
              </w:rPr>
              <w:t>31.68</w:t>
            </w:r>
          </w:p>
        </w:tc>
        <w:tc>
          <w:tcPr>
            <w:tcW w:w="992" w:type="dxa"/>
            <w:tcBorders>
              <w:top w:val="single" w:sz="2" w:space="0" w:color="000000"/>
              <w:left w:val="single" w:sz="4" w:space="0" w:color="000000"/>
              <w:bottom w:val="single" w:sz="4" w:space="0" w:color="000000"/>
              <w:right w:val="single" w:sz="2" w:space="0" w:color="000000"/>
            </w:tcBorders>
            <w:shd w:val="clear" w:color="auto" w:fill="D9D9D9"/>
            <w:tcMar>
              <w:left w:w="108" w:type="dxa"/>
              <w:right w:w="108" w:type="dxa"/>
            </w:tcMar>
          </w:tcPr>
          <w:p w14:paraId="064F4FAE" w14:textId="77777777" w:rsidR="00E83E7D" w:rsidRDefault="00000000">
            <w:pPr>
              <w:ind w:firstLine="284"/>
            </w:pPr>
            <w:r>
              <w:rPr>
                <w:rFonts w:ascii="Times New Roman" w:eastAsia="Times New Roman" w:hAnsi="Times New Roman" w:cs="Times New Roman"/>
                <w:sz w:val="18"/>
              </w:rPr>
              <w:t>55.2</w:t>
            </w:r>
          </w:p>
        </w:tc>
        <w:tc>
          <w:tcPr>
            <w:tcW w:w="992"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B07C76" w14:textId="77777777" w:rsidR="00E83E7D" w:rsidRDefault="00000000">
            <w:pPr>
              <w:ind w:firstLine="284"/>
            </w:pPr>
            <w:r>
              <w:rPr>
                <w:rFonts w:ascii="Times New Roman" w:eastAsia="Times New Roman" w:hAnsi="Times New Roman" w:cs="Times New Roman"/>
                <w:sz w:val="18"/>
              </w:rPr>
              <w:t>41.0</w:t>
            </w:r>
          </w:p>
        </w:tc>
      </w:tr>
      <w:tr w:rsidR="00E83E7D" w14:paraId="463B7700"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B85605" w14:textId="77777777" w:rsidR="00E83E7D" w:rsidRDefault="00000000">
            <w:pPr>
              <w:ind w:firstLine="284"/>
              <w:jc w:val="both"/>
            </w:pPr>
            <w:r>
              <w:rPr>
                <w:rFonts w:ascii="Times New Roman" w:eastAsia="Times New Roman" w:hAnsi="Times New Roman" w:cs="Times New Roman"/>
                <w:sz w:val="18"/>
              </w:rPr>
              <w:t>Officials, police, army</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15C8B38B" w14:textId="77777777" w:rsidR="00E83E7D" w:rsidRDefault="00000000">
            <w:pPr>
              <w:ind w:firstLine="284"/>
            </w:pPr>
            <w:r>
              <w:rPr>
                <w:rFonts w:ascii="Times New Roman" w:eastAsia="Times New Roman" w:hAnsi="Times New Roman" w:cs="Times New Roman"/>
                <w:sz w:val="18"/>
              </w:rPr>
              <w:t>7.0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9C980A" w14:textId="77777777" w:rsidR="00E83E7D" w:rsidRDefault="00000000">
            <w:pPr>
              <w:ind w:firstLine="284"/>
            </w:pPr>
            <w:r>
              <w:rPr>
                <w:rFonts w:ascii="Times New Roman" w:eastAsia="Times New Roman" w:hAnsi="Times New Roman" w:cs="Times New Roman"/>
                <w:sz w:val="18"/>
              </w:rPr>
              <w:t>11.38</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4581887B" w14:textId="77777777" w:rsidR="00E83E7D" w:rsidRDefault="00000000">
            <w:pPr>
              <w:ind w:firstLine="284"/>
            </w:pPr>
            <w:r>
              <w:rPr>
                <w:rFonts w:ascii="Times New Roman" w:eastAsia="Times New Roman" w:hAnsi="Times New Roman" w:cs="Times New Roman"/>
                <w:sz w:val="18"/>
              </w:rPr>
              <w:t>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5DB027" w14:textId="77777777" w:rsidR="00E83E7D" w:rsidRDefault="00000000">
            <w:pPr>
              <w:ind w:firstLine="284"/>
            </w:pPr>
            <w:r>
              <w:rPr>
                <w:rFonts w:ascii="Times New Roman" w:eastAsia="Times New Roman" w:hAnsi="Times New Roman" w:cs="Times New Roman"/>
                <w:sz w:val="18"/>
              </w:rPr>
              <w:t>11.2</w:t>
            </w:r>
          </w:p>
        </w:tc>
      </w:tr>
      <w:tr w:rsidR="00E83E7D" w14:paraId="4916F1FC"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5102A1" w14:textId="77777777" w:rsidR="00E83E7D" w:rsidRDefault="00000000">
            <w:pPr>
              <w:ind w:firstLine="284"/>
              <w:jc w:val="both"/>
            </w:pPr>
            <w:r>
              <w:rPr>
                <w:rFonts w:ascii="Times New Roman" w:eastAsia="Times New Roman" w:hAnsi="Times New Roman" w:cs="Times New Roman"/>
                <w:sz w:val="18"/>
              </w:rPr>
              <w:t>Service workers</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28DECD35" w14:textId="77777777" w:rsidR="00E83E7D" w:rsidRDefault="00000000">
            <w:pPr>
              <w:ind w:firstLine="284"/>
            </w:pPr>
            <w:r>
              <w:rPr>
                <w:rFonts w:ascii="Times New Roman" w:eastAsia="Times New Roman" w:hAnsi="Times New Roman" w:cs="Times New Roman"/>
                <w:sz w:val="18"/>
              </w:rPr>
              <w:t>14.5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732154" w14:textId="77777777" w:rsidR="00E83E7D" w:rsidRDefault="00000000">
            <w:pPr>
              <w:ind w:firstLine="284"/>
            </w:pPr>
            <w:r>
              <w:rPr>
                <w:rFonts w:ascii="Times New Roman" w:eastAsia="Times New Roman" w:hAnsi="Times New Roman" w:cs="Times New Roman"/>
                <w:sz w:val="18"/>
              </w:rPr>
              <w:t>17.58</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09D25A67" w14:textId="77777777" w:rsidR="00E83E7D" w:rsidRDefault="00000000">
            <w:pPr>
              <w:ind w:firstLine="284"/>
            </w:pPr>
            <w:r>
              <w:rPr>
                <w:rFonts w:ascii="Times New Roman" w:eastAsia="Times New Roman" w:hAnsi="Times New Roman" w:cs="Times New Roman"/>
                <w:sz w:val="18"/>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E2CE73" w14:textId="77777777" w:rsidR="00E83E7D" w:rsidRDefault="00000000">
            <w:pPr>
              <w:ind w:firstLine="284"/>
            </w:pPr>
            <w:r>
              <w:rPr>
                <w:rFonts w:ascii="Times New Roman" w:eastAsia="Times New Roman" w:hAnsi="Times New Roman" w:cs="Times New Roman"/>
                <w:sz w:val="18"/>
              </w:rPr>
              <w:t>13.4</w:t>
            </w:r>
          </w:p>
        </w:tc>
      </w:tr>
      <w:tr w:rsidR="00E83E7D" w14:paraId="1D7A37CE"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4E3315" w14:textId="77777777" w:rsidR="00E83E7D" w:rsidRDefault="00000000">
            <w:pPr>
              <w:ind w:firstLine="284"/>
              <w:jc w:val="both"/>
            </w:pPr>
            <w:r>
              <w:rPr>
                <w:rFonts w:ascii="Times New Roman" w:eastAsia="Times New Roman" w:hAnsi="Times New Roman" w:cs="Times New Roman"/>
                <w:sz w:val="18"/>
              </w:rPr>
              <w:t>Skilled workers and craftsmen</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230A5AA3" w14:textId="77777777" w:rsidR="00E83E7D" w:rsidRDefault="00000000">
            <w:pPr>
              <w:ind w:firstLine="284"/>
            </w:pPr>
            <w:r>
              <w:rPr>
                <w:rFonts w:ascii="Times New Roman" w:eastAsia="Times New Roman" w:hAnsi="Times New Roman" w:cs="Times New Roman"/>
                <w:sz w:val="18"/>
              </w:rPr>
              <w:t>37.1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43E6EB" w14:textId="77777777" w:rsidR="00E83E7D" w:rsidRDefault="00000000">
            <w:pPr>
              <w:ind w:firstLine="284"/>
            </w:pPr>
            <w:r>
              <w:rPr>
                <w:rFonts w:ascii="Times New Roman" w:eastAsia="Times New Roman" w:hAnsi="Times New Roman" w:cs="Times New Roman"/>
                <w:sz w:val="18"/>
              </w:rPr>
              <w:t>26.41</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4AFEBF0E" w14:textId="77777777" w:rsidR="00E83E7D" w:rsidRDefault="00000000">
            <w:pPr>
              <w:ind w:firstLine="284"/>
            </w:pPr>
            <w:r>
              <w:rPr>
                <w:rFonts w:ascii="Times New Roman" w:eastAsia="Times New Roman" w:hAnsi="Times New Roman" w:cs="Times New Roman"/>
                <w:sz w:val="18"/>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45554" w14:textId="77777777" w:rsidR="00E83E7D" w:rsidRDefault="00000000">
            <w:pPr>
              <w:ind w:firstLine="284"/>
            </w:pPr>
            <w:r>
              <w:rPr>
                <w:rFonts w:ascii="Times New Roman" w:eastAsia="Times New Roman" w:hAnsi="Times New Roman" w:cs="Times New Roman"/>
                <w:sz w:val="18"/>
              </w:rPr>
              <w:t>18.5</w:t>
            </w:r>
          </w:p>
        </w:tc>
      </w:tr>
      <w:tr w:rsidR="00E83E7D" w14:paraId="4481F58A"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BBADD4" w14:textId="77777777" w:rsidR="00E83E7D" w:rsidRDefault="00000000">
            <w:pPr>
              <w:ind w:firstLine="284"/>
              <w:jc w:val="both"/>
            </w:pPr>
            <w:r>
              <w:rPr>
                <w:rFonts w:ascii="Times New Roman" w:eastAsia="Times New Roman" w:hAnsi="Times New Roman" w:cs="Times New Roman"/>
                <w:sz w:val="18"/>
              </w:rPr>
              <w:t>Radnici i poljoprivrednici</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5F088F9B" w14:textId="77777777" w:rsidR="00E83E7D" w:rsidRDefault="00000000">
            <w:pPr>
              <w:ind w:firstLine="284"/>
            </w:pPr>
            <w:r>
              <w:rPr>
                <w:rFonts w:ascii="Times New Roman" w:eastAsia="Times New Roman" w:hAnsi="Times New Roman" w:cs="Times New Roman"/>
                <w:sz w:val="18"/>
              </w:rPr>
              <w:t>8.6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7A153B" w14:textId="77777777" w:rsidR="00E83E7D" w:rsidRDefault="00000000">
            <w:pPr>
              <w:ind w:firstLine="284"/>
            </w:pPr>
            <w:r>
              <w:rPr>
                <w:rFonts w:ascii="Times New Roman" w:eastAsia="Times New Roman" w:hAnsi="Times New Roman" w:cs="Times New Roman"/>
                <w:sz w:val="18"/>
              </w:rPr>
              <w:t>11.12</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748D7629" w14:textId="77777777" w:rsidR="00E83E7D" w:rsidRDefault="00000000">
            <w:pPr>
              <w:ind w:firstLine="284"/>
            </w:pPr>
            <w:r>
              <w:rPr>
                <w:rFonts w:ascii="Times New Roman" w:eastAsia="Times New Roman" w:hAnsi="Times New Roman" w:cs="Times New Roman"/>
                <w:sz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FAFB27" w14:textId="77777777" w:rsidR="00E83E7D" w:rsidRDefault="00000000">
            <w:pPr>
              <w:ind w:firstLine="284"/>
            </w:pPr>
            <w:r>
              <w:rPr>
                <w:rFonts w:ascii="Times New Roman" w:eastAsia="Times New Roman" w:hAnsi="Times New Roman" w:cs="Times New Roman"/>
                <w:sz w:val="18"/>
              </w:rPr>
              <w:t>6.5</w:t>
            </w:r>
          </w:p>
        </w:tc>
      </w:tr>
      <w:tr w:rsidR="00E83E7D" w14:paraId="543FF88F" w14:textId="77777777">
        <w:tblPrEx>
          <w:tblCellMar>
            <w:top w:w="0" w:type="dxa"/>
            <w:bottom w:w="0" w:type="dxa"/>
          </w:tblCellMar>
        </w:tblPrEx>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B5780A" w14:textId="77777777" w:rsidR="00E83E7D" w:rsidRDefault="00000000">
            <w:pPr>
              <w:ind w:firstLine="284"/>
              <w:jc w:val="both"/>
            </w:pPr>
            <w:r>
              <w:rPr>
                <w:rFonts w:ascii="Times New Roman" w:eastAsia="Times New Roman" w:hAnsi="Times New Roman" w:cs="Times New Roman"/>
                <w:sz w:val="18"/>
              </w:rPr>
              <w:t>In total</w:t>
            </w:r>
          </w:p>
        </w:tc>
        <w:tc>
          <w:tcPr>
            <w:tcW w:w="888"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74CAE75B" w14:textId="77777777" w:rsidR="00E83E7D" w:rsidRDefault="00000000">
            <w:pPr>
              <w:ind w:firstLine="284"/>
            </w:pPr>
            <w:r>
              <w:rPr>
                <w:rFonts w:ascii="Times New Roman" w:eastAsia="Times New Roman" w:hAnsi="Times New Roman" w:cs="Times New Roman"/>
                <w:sz w:val="18"/>
              </w:rPr>
              <w:t>99.9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1A7217" w14:textId="77777777" w:rsidR="00E83E7D" w:rsidRDefault="00000000">
            <w:pPr>
              <w:ind w:firstLine="284"/>
            </w:pPr>
            <w:r>
              <w:rPr>
                <w:rFonts w:ascii="Times New Roman" w:eastAsia="Times New Roman" w:hAnsi="Times New Roman" w:cs="Times New Roman"/>
                <w:sz w:val="18"/>
              </w:rPr>
              <w:t>99.9</w:t>
            </w:r>
          </w:p>
        </w:tc>
        <w:tc>
          <w:tcPr>
            <w:tcW w:w="992" w:type="dxa"/>
            <w:tcBorders>
              <w:top w:val="single" w:sz="4" w:space="0" w:color="000000"/>
              <w:left w:val="single" w:sz="4" w:space="0" w:color="000000"/>
              <w:bottom w:val="single" w:sz="4" w:space="0" w:color="000000"/>
              <w:right w:val="single" w:sz="2" w:space="0" w:color="000000"/>
            </w:tcBorders>
            <w:shd w:val="clear" w:color="auto" w:fill="D9D9D9"/>
            <w:tcMar>
              <w:left w:w="108" w:type="dxa"/>
              <w:right w:w="108" w:type="dxa"/>
            </w:tcMar>
          </w:tcPr>
          <w:p w14:paraId="3C97A2B7" w14:textId="77777777" w:rsidR="00E83E7D" w:rsidRDefault="00000000">
            <w:pPr>
              <w:ind w:firstLine="284"/>
            </w:pPr>
            <w:r>
              <w:rPr>
                <w:rFonts w:ascii="Times New Roman" w:eastAsia="Times New Roman" w:hAnsi="Times New Roman" w:cs="Times New Roman"/>
                <w:sz w:val="18"/>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4A0F76" w14:textId="77777777" w:rsidR="00E83E7D" w:rsidRDefault="00000000">
            <w:pPr>
              <w:ind w:firstLine="284"/>
            </w:pPr>
            <w:r>
              <w:rPr>
                <w:rFonts w:ascii="Times New Roman" w:eastAsia="Times New Roman" w:hAnsi="Times New Roman" w:cs="Times New Roman"/>
                <w:sz w:val="18"/>
              </w:rPr>
              <w:t>99.9</w:t>
            </w:r>
          </w:p>
        </w:tc>
      </w:tr>
    </w:tbl>
    <w:p w14:paraId="352F65DC" w14:textId="77777777" w:rsidR="00E83E7D" w:rsidRDefault="00000000">
      <w:pPr>
        <w:ind w:firstLine="284"/>
        <w:jc w:val="center"/>
      </w:pPr>
      <w:r>
        <w:rPr>
          <w:rFonts w:ascii="Times New Roman" w:eastAsia="Times New Roman" w:hAnsi="Times New Roman" w:cs="Times New Roman"/>
          <w:sz w:val="16"/>
        </w:rPr>
        <w:t>Source: Popović, 2015, Gundogan, 2022.</w:t>
      </w:r>
    </w:p>
    <w:p w14:paraId="76636F94" w14:textId="77777777" w:rsidR="00E83E7D" w:rsidRDefault="00E83E7D">
      <w:pPr>
        <w:ind w:firstLine="284"/>
        <w:jc w:val="both"/>
      </w:pPr>
    </w:p>
    <w:p w14:paraId="5FBC659E" w14:textId="77777777" w:rsidR="00E83E7D" w:rsidRPr="00D403A9" w:rsidRDefault="00000000">
      <w:pPr>
        <w:ind w:firstLine="284"/>
        <w:jc w:val="both"/>
        <w:rPr>
          <w:spacing w:val="-4"/>
        </w:rPr>
      </w:pPr>
      <w:r w:rsidRPr="00D403A9">
        <w:rPr>
          <w:rFonts w:ascii="Times New Roman" w:eastAsia="Times New Roman" w:hAnsi="Times New Roman" w:cs="Times New Roman"/>
          <w:spacing w:val="-4"/>
          <w:sz w:val="20"/>
        </w:rPr>
        <w:t>Nine years later, this has not changed significantly (about 50% of experts and managers among parents of students versus about 33% of experts and managers in the general population). In both periods, the children of skilled workers, artisans, farmers, service workers and traders were underrepresented in the student population, although the situation is somewhat better in 2019 than in 2010. These data are similar to data from other Eastern European countries that participated in the EUROSTUDENT V survey (Savić, Živadinović, 2016, p. 30).</w:t>
      </w:r>
    </w:p>
    <w:p w14:paraId="59934B1E" w14:textId="77777777" w:rsidR="00E83E7D" w:rsidRDefault="00E83E7D">
      <w:pPr>
        <w:ind w:firstLine="284"/>
        <w:jc w:val="both"/>
      </w:pPr>
    </w:p>
    <w:p w14:paraId="02B5AD3F" w14:textId="77777777" w:rsidR="00E83E7D" w:rsidRDefault="00000000">
      <w:pPr>
        <w:ind w:firstLine="284"/>
        <w:jc w:val="both"/>
      </w:pPr>
      <w:r>
        <w:rPr>
          <w:rFonts w:ascii="Times New Roman" w:eastAsia="Times New Roman" w:hAnsi="Times New Roman" w:cs="Times New Roman"/>
          <w:i/>
          <w:sz w:val="20"/>
        </w:rPr>
        <w:t>Education of parents</w:t>
      </w:r>
    </w:p>
    <w:p w14:paraId="0EC3FA38" w14:textId="77777777" w:rsidR="00E83E7D" w:rsidRDefault="00E83E7D">
      <w:pPr>
        <w:ind w:firstLine="284"/>
        <w:jc w:val="both"/>
      </w:pPr>
    </w:p>
    <w:p w14:paraId="0F62EFE5" w14:textId="77777777" w:rsidR="00E83E7D" w:rsidRDefault="00000000">
      <w:pPr>
        <w:ind w:firstLine="284"/>
        <w:jc w:val="center"/>
      </w:pPr>
      <w:r>
        <w:rPr>
          <w:rFonts w:ascii="Times New Roman" w:eastAsia="Times New Roman" w:hAnsi="Times New Roman" w:cs="Times New Roman"/>
          <w:b/>
          <w:sz w:val="20"/>
        </w:rPr>
        <w:t>Table 8</w:t>
      </w:r>
      <w:r>
        <w:rPr>
          <w:rFonts w:ascii="Times New Roman" w:eastAsia="Times New Roman" w:hAnsi="Times New Roman" w:cs="Times New Roman"/>
          <w:sz w:val="20"/>
        </w:rPr>
        <w:t xml:space="preserve"> Education in the entire population and the population aged 15 and over, and parents of students %, according to the Labor Force Survey 2010</w:t>
      </w:r>
    </w:p>
    <w:p w14:paraId="6199DB7D" w14:textId="77777777" w:rsidR="00E83E7D" w:rsidRDefault="00000000">
      <w:pPr>
        <w:ind w:firstLine="284"/>
        <w:jc w:val="center"/>
      </w:pPr>
      <w:r>
        <w:rPr>
          <w:rFonts w:ascii="Times New Roman" w:eastAsia="Times New Roman" w:hAnsi="Times New Roman" w:cs="Times New Roman"/>
          <w:sz w:val="20"/>
        </w:rPr>
        <w:t>and the ŠV form and according to the 2021</w:t>
      </w:r>
    </w:p>
    <w:tbl>
      <w:tblPr>
        <w:tblW w:w="7209" w:type="dxa"/>
        <w:jc w:val="center"/>
        <w:tblLayout w:type="fixed"/>
        <w:tblCellMar>
          <w:left w:w="10" w:type="dxa"/>
          <w:right w:w="10" w:type="dxa"/>
        </w:tblCellMar>
        <w:tblLook w:val="0000" w:firstRow="0" w:lastRow="0" w:firstColumn="0" w:lastColumn="0" w:noHBand="0" w:noVBand="0"/>
      </w:tblPr>
      <w:tblGrid>
        <w:gridCol w:w="1628"/>
        <w:gridCol w:w="714"/>
        <w:gridCol w:w="798"/>
        <w:gridCol w:w="667"/>
        <w:gridCol w:w="709"/>
        <w:gridCol w:w="1134"/>
        <w:gridCol w:w="851"/>
        <w:gridCol w:w="708"/>
      </w:tblGrid>
      <w:tr w:rsidR="00E83E7D" w14:paraId="20C3868B" w14:textId="77777777" w:rsidTr="00D403A9">
        <w:tblPrEx>
          <w:tblCellMar>
            <w:top w:w="0" w:type="dxa"/>
            <w:bottom w:w="0" w:type="dxa"/>
          </w:tblCellMar>
        </w:tblPrEx>
        <w:trPr>
          <w:trHeight w:val="420"/>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tcPr>
          <w:p w14:paraId="66862632" w14:textId="77777777" w:rsidR="00E83E7D" w:rsidRDefault="00000000">
            <w:pPr>
              <w:ind w:firstLine="284"/>
              <w:jc w:val="both"/>
            </w:pPr>
            <w:r>
              <w:rPr>
                <w:rFonts w:ascii="Times New Roman" w:eastAsia="Times New Roman" w:hAnsi="Times New Roman" w:cs="Times New Roman"/>
                <w:sz w:val="16"/>
              </w:rPr>
              <w:t> </w:t>
            </w:r>
          </w:p>
        </w:tc>
        <w:tc>
          <w:tcPr>
            <w:tcW w:w="2888" w:type="dxa"/>
            <w:gridSpan w:val="4"/>
            <w:tcBorders>
              <w:top w:val="single" w:sz="8" w:space="0" w:color="000000"/>
              <w:left w:val="single" w:sz="2" w:space="0" w:color="000000"/>
              <w:bottom w:val="single" w:sz="8" w:space="0" w:color="000000"/>
              <w:right w:val="single" w:sz="8" w:space="0" w:color="000000"/>
            </w:tcBorders>
            <w:shd w:val="clear" w:color="auto" w:fill="BFBFBF"/>
            <w:tcMar>
              <w:left w:w="70" w:type="dxa"/>
              <w:right w:w="70" w:type="dxa"/>
            </w:tcMar>
          </w:tcPr>
          <w:p w14:paraId="4374398F" w14:textId="77777777" w:rsidR="00E83E7D" w:rsidRDefault="00000000">
            <w:pPr>
              <w:ind w:firstLine="284"/>
              <w:jc w:val="center"/>
            </w:pPr>
            <w:r>
              <w:rPr>
                <w:rFonts w:ascii="Times New Roman" w:eastAsia="Times New Roman" w:hAnsi="Times New Roman" w:cs="Times New Roman"/>
                <w:b/>
                <w:sz w:val="16"/>
              </w:rPr>
              <w:t>2010</w:t>
            </w:r>
          </w:p>
        </w:tc>
        <w:tc>
          <w:tcPr>
            <w:tcW w:w="1134" w:type="dxa"/>
            <w:tcBorders>
              <w:top w:val="single" w:sz="8" w:space="0" w:color="000000"/>
              <w:left w:val="single" w:sz="2" w:space="0" w:color="000000"/>
              <w:bottom w:val="single" w:sz="8" w:space="0" w:color="000000"/>
              <w:right w:val="single" w:sz="8" w:space="0" w:color="000000"/>
            </w:tcBorders>
            <w:shd w:val="clear" w:color="auto" w:fill="FFFFFF"/>
            <w:tcMar>
              <w:left w:w="70" w:type="dxa"/>
              <w:right w:w="70" w:type="dxa"/>
            </w:tcMar>
          </w:tcPr>
          <w:p w14:paraId="5CD10448" w14:textId="77777777" w:rsidR="00E83E7D" w:rsidRDefault="00000000">
            <w:pPr>
              <w:jc w:val="center"/>
            </w:pPr>
            <w:r>
              <w:rPr>
                <w:rFonts w:ascii="Times New Roman" w:eastAsia="Times New Roman" w:hAnsi="Times New Roman" w:cs="Times New Roman"/>
                <w:b/>
                <w:sz w:val="16"/>
              </w:rPr>
              <w:t>2022</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tcPr>
          <w:p w14:paraId="599E161F" w14:textId="77777777" w:rsidR="00E83E7D" w:rsidRDefault="00000000">
            <w:pPr>
              <w:jc w:val="center"/>
            </w:pPr>
            <w:r>
              <w:rPr>
                <w:rFonts w:ascii="Times New Roman" w:eastAsia="Times New Roman" w:hAnsi="Times New Roman" w:cs="Times New Roman"/>
                <w:b/>
                <w:sz w:val="16"/>
              </w:rPr>
              <w:t>2019</w:t>
            </w:r>
          </w:p>
        </w:tc>
      </w:tr>
      <w:tr w:rsidR="00E83E7D" w14:paraId="02BA6B8C" w14:textId="77777777" w:rsidTr="00D403A9">
        <w:tblPrEx>
          <w:tblCellMar>
            <w:top w:w="0" w:type="dxa"/>
            <w:bottom w:w="0" w:type="dxa"/>
          </w:tblCellMar>
        </w:tblPrEx>
        <w:trPr>
          <w:trHeight w:val="474"/>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tcPr>
          <w:p w14:paraId="080D4FD3" w14:textId="77777777" w:rsidR="00E83E7D" w:rsidRDefault="00000000">
            <w:pPr>
              <w:spacing w:after="200" w:line="276" w:lineRule="auto"/>
            </w:pPr>
            <w:r>
              <w:rPr>
                <w:rFonts w:eastAsia="Calibri" w:cs="Calibri"/>
              </w:rPr>
              <w:t xml:space="preserve"> </w:t>
            </w:r>
          </w:p>
        </w:tc>
        <w:tc>
          <w:tcPr>
            <w:tcW w:w="1512" w:type="dxa"/>
            <w:gridSpan w:val="2"/>
            <w:tcBorders>
              <w:top w:val="single" w:sz="8" w:space="0" w:color="000000"/>
              <w:left w:val="single" w:sz="2" w:space="0" w:color="000000"/>
              <w:bottom w:val="single" w:sz="2" w:space="0" w:color="000000"/>
              <w:right w:val="single" w:sz="8" w:space="0" w:color="000000"/>
            </w:tcBorders>
            <w:shd w:val="clear" w:color="auto" w:fill="BFBFBF"/>
            <w:tcMar>
              <w:left w:w="70" w:type="dxa"/>
              <w:right w:w="70" w:type="dxa"/>
            </w:tcMar>
          </w:tcPr>
          <w:p w14:paraId="01BC1684" w14:textId="77777777" w:rsidR="00E83E7D" w:rsidRDefault="00000000">
            <w:pPr>
              <w:jc w:val="center"/>
            </w:pPr>
            <w:r>
              <w:rPr>
                <w:rFonts w:ascii="Times New Roman" w:eastAsia="Times New Roman" w:hAnsi="Times New Roman" w:cs="Times New Roman"/>
                <w:b/>
                <w:sz w:val="16"/>
              </w:rPr>
              <w:t>WORKINGLY ACTIVE</w:t>
            </w:r>
          </w:p>
        </w:tc>
        <w:tc>
          <w:tcPr>
            <w:tcW w:w="1376" w:type="dxa"/>
            <w:gridSpan w:val="2"/>
            <w:tcBorders>
              <w:top w:val="single" w:sz="8" w:space="0" w:color="000000"/>
              <w:left w:val="single" w:sz="2" w:space="0" w:color="000000"/>
              <w:bottom w:val="single" w:sz="2" w:space="0" w:color="000000"/>
              <w:right w:val="single" w:sz="8" w:space="0" w:color="000000"/>
            </w:tcBorders>
            <w:shd w:val="clear" w:color="auto" w:fill="BFBFBF"/>
            <w:tcMar>
              <w:left w:w="70" w:type="dxa"/>
              <w:right w:w="70" w:type="dxa"/>
            </w:tcMar>
          </w:tcPr>
          <w:p w14:paraId="27B876A9" w14:textId="77777777" w:rsidR="00E83E7D" w:rsidRDefault="00000000">
            <w:pPr>
              <w:jc w:val="center"/>
            </w:pPr>
            <w:r>
              <w:rPr>
                <w:rFonts w:ascii="Times New Roman" w:eastAsia="Times New Roman" w:hAnsi="Times New Roman" w:cs="Times New Roman"/>
                <w:b/>
                <w:sz w:val="16"/>
              </w:rPr>
              <w:t>PARENTS OF STUDENTS</w:t>
            </w:r>
          </w:p>
        </w:tc>
        <w:tc>
          <w:tcPr>
            <w:tcW w:w="1134" w:type="dxa"/>
            <w:tcBorders>
              <w:top w:val="single" w:sz="8" w:space="0" w:color="000000"/>
              <w:left w:val="single" w:sz="2" w:space="0" w:color="000000"/>
              <w:bottom w:val="single" w:sz="8" w:space="0" w:color="000000"/>
              <w:right w:val="single" w:sz="8" w:space="0" w:color="000000"/>
            </w:tcBorders>
            <w:shd w:val="clear" w:color="auto" w:fill="FFFFFF"/>
            <w:tcMar>
              <w:left w:w="70" w:type="dxa"/>
              <w:right w:w="70" w:type="dxa"/>
            </w:tcMar>
          </w:tcPr>
          <w:p w14:paraId="6AACE76B" w14:textId="77777777" w:rsidR="00E83E7D" w:rsidRDefault="00000000">
            <w:pPr>
              <w:jc w:val="center"/>
            </w:pPr>
            <w:r>
              <w:rPr>
                <w:rFonts w:ascii="Times New Roman" w:eastAsia="Times New Roman" w:hAnsi="Times New Roman" w:cs="Times New Roman"/>
                <w:b/>
                <w:sz w:val="16"/>
              </w:rPr>
              <w:t>Population aged 15 years and older</w:t>
            </w:r>
          </w:p>
        </w:tc>
        <w:tc>
          <w:tcPr>
            <w:tcW w:w="1559" w:type="dxa"/>
            <w:gridSpan w:val="2"/>
            <w:tcBorders>
              <w:top w:val="single" w:sz="2" w:space="0" w:color="000000"/>
              <w:left w:val="single" w:sz="8" w:space="0" w:color="000000"/>
              <w:bottom w:val="single" w:sz="2" w:space="0" w:color="000000"/>
              <w:right w:val="single" w:sz="8" w:space="0" w:color="000000"/>
            </w:tcBorders>
            <w:shd w:val="clear" w:color="auto" w:fill="FFFFFF"/>
            <w:tcMar>
              <w:left w:w="70" w:type="dxa"/>
              <w:right w:w="70" w:type="dxa"/>
            </w:tcMar>
          </w:tcPr>
          <w:p w14:paraId="0636E34B" w14:textId="77777777" w:rsidR="00E83E7D" w:rsidRDefault="00000000">
            <w:pPr>
              <w:jc w:val="center"/>
            </w:pPr>
            <w:r>
              <w:rPr>
                <w:rFonts w:ascii="Times New Roman" w:eastAsia="Times New Roman" w:hAnsi="Times New Roman" w:cs="Times New Roman"/>
                <w:b/>
                <w:sz w:val="16"/>
              </w:rPr>
              <w:t>PARENTS OF STUDENTS</w:t>
            </w:r>
          </w:p>
        </w:tc>
      </w:tr>
      <w:tr w:rsidR="00D403A9" w14:paraId="45CBF739" w14:textId="77777777" w:rsidTr="00D403A9">
        <w:tblPrEx>
          <w:tblCellMar>
            <w:top w:w="0" w:type="dxa"/>
            <w:bottom w:w="0" w:type="dxa"/>
          </w:tblCellMar>
        </w:tblPrEx>
        <w:trPr>
          <w:trHeight w:val="270"/>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18028C30" w14:textId="77777777" w:rsidR="00D403A9" w:rsidRDefault="00D403A9" w:rsidP="00D403A9">
            <w:pPr>
              <w:rPr>
                <w:rFonts w:ascii="Times New Roman" w:eastAsia="Times New Roman" w:hAnsi="Times New Roman" w:cs="Times New Roman"/>
                <w:sz w:val="16"/>
              </w:rPr>
            </w:pP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34C8CCFA" w14:textId="4DA09DEC" w:rsidR="00D403A9" w:rsidRPr="00D403A9" w:rsidRDefault="00D403A9" w:rsidP="00D403A9">
            <w:pPr>
              <w:jc w:val="center"/>
              <w:rPr>
                <w:rFonts w:ascii="Times New Roman" w:eastAsia="Times New Roman" w:hAnsi="Times New Roman" w:cs="Times New Roman"/>
                <w:b/>
                <w:bCs/>
                <w:sz w:val="16"/>
              </w:rPr>
            </w:pPr>
            <w:r>
              <w:rPr>
                <w:rFonts w:ascii="Times New Roman" w:eastAsia="Times New Roman" w:hAnsi="Times New Roman" w:cs="Times New Roman"/>
                <w:sz w:val="16"/>
              </w:rPr>
              <w:t>Men</w:t>
            </w:r>
          </w:p>
        </w:tc>
        <w:tc>
          <w:tcPr>
            <w:tcW w:w="798" w:type="dxa"/>
            <w:tcBorders>
              <w:top w:val="single" w:sz="2" w:space="0" w:color="000000"/>
              <w:left w:val="single" w:sz="2" w:space="0" w:color="000000"/>
              <w:bottom w:val="single" w:sz="4" w:space="0" w:color="000000"/>
              <w:right w:val="single" w:sz="2" w:space="0" w:color="000000"/>
            </w:tcBorders>
            <w:shd w:val="clear" w:color="auto" w:fill="BFBFBF"/>
            <w:tcMar>
              <w:left w:w="70" w:type="dxa"/>
              <w:right w:w="70" w:type="dxa"/>
            </w:tcMar>
          </w:tcPr>
          <w:p w14:paraId="166C6DDC" w14:textId="25D73350" w:rsidR="00D403A9" w:rsidRPr="00D403A9" w:rsidRDefault="00D403A9" w:rsidP="00D403A9">
            <w:pPr>
              <w:ind w:hanging="10"/>
              <w:jc w:val="center"/>
              <w:rPr>
                <w:rFonts w:ascii="Times New Roman" w:eastAsia="Times New Roman" w:hAnsi="Times New Roman" w:cs="Times New Roman"/>
                <w:b/>
                <w:bCs/>
                <w:sz w:val="16"/>
              </w:rPr>
            </w:pPr>
            <w:r>
              <w:rPr>
                <w:rFonts w:ascii="Times New Roman" w:eastAsia="Times New Roman" w:hAnsi="Times New Roman" w:cs="Times New Roman"/>
                <w:sz w:val="16"/>
              </w:rPr>
              <w:t>Women</w:t>
            </w:r>
          </w:p>
        </w:tc>
        <w:tc>
          <w:tcPr>
            <w:tcW w:w="667"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58BF5EFF" w14:textId="4BD84FF7" w:rsidR="00D403A9" w:rsidRPr="00D403A9" w:rsidRDefault="00D403A9" w:rsidP="00D403A9">
            <w:pPr>
              <w:jc w:val="center"/>
              <w:rPr>
                <w:rFonts w:ascii="Times New Roman" w:eastAsia="Times New Roman" w:hAnsi="Times New Roman" w:cs="Times New Roman"/>
                <w:b/>
                <w:bCs/>
                <w:sz w:val="16"/>
              </w:rPr>
            </w:pPr>
            <w:r>
              <w:rPr>
                <w:rFonts w:ascii="Times New Roman" w:eastAsia="Times New Roman" w:hAnsi="Times New Roman" w:cs="Times New Roman"/>
                <w:sz w:val="16"/>
              </w:rPr>
              <w:t>Fathers</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40AC40D1" w14:textId="448090A5" w:rsidR="00D403A9" w:rsidRPr="00D403A9" w:rsidRDefault="00D403A9" w:rsidP="00D403A9">
            <w:pPr>
              <w:jc w:val="center"/>
              <w:rPr>
                <w:rFonts w:ascii="Times New Roman" w:eastAsia="Times New Roman" w:hAnsi="Times New Roman" w:cs="Times New Roman"/>
                <w:b/>
                <w:bCs/>
                <w:sz w:val="16"/>
              </w:rPr>
            </w:pPr>
            <w:r>
              <w:rPr>
                <w:rFonts w:ascii="Times New Roman" w:eastAsia="Times New Roman" w:hAnsi="Times New Roman" w:cs="Times New Roman"/>
                <w:sz w:val="16"/>
              </w:rPr>
              <w:t>Mothers</w:t>
            </w:r>
          </w:p>
        </w:tc>
        <w:tc>
          <w:tcPr>
            <w:tcW w:w="1134" w:type="dxa"/>
            <w:tcBorders>
              <w:top w:val="single" w:sz="8" w:space="0" w:color="000000"/>
              <w:left w:val="single" w:sz="2" w:space="0" w:color="000000"/>
              <w:bottom w:val="single" w:sz="4" w:space="0" w:color="000000"/>
              <w:right w:val="single" w:sz="4" w:space="0" w:color="000000"/>
            </w:tcBorders>
            <w:shd w:val="clear" w:color="auto" w:fill="FFFFFF"/>
            <w:tcMar>
              <w:left w:w="70" w:type="dxa"/>
              <w:right w:w="70" w:type="dxa"/>
            </w:tcMar>
          </w:tcPr>
          <w:p w14:paraId="2B3F6626" w14:textId="1339E296" w:rsidR="00D403A9" w:rsidRPr="00D403A9" w:rsidRDefault="00D403A9" w:rsidP="00D403A9">
            <w:pPr>
              <w:jc w:val="center"/>
              <w:rPr>
                <w:rFonts w:ascii="Times New Roman" w:eastAsia="Times New Roman" w:hAnsi="Times New Roman" w:cs="Times New Roman"/>
                <w:b/>
                <w:bCs/>
                <w:sz w:val="16"/>
              </w:rPr>
            </w:pPr>
            <w:r>
              <w:rPr>
                <w:rFonts w:ascii="Times New Roman" w:eastAsia="Times New Roman" w:hAnsi="Times New Roman" w:cs="Times New Roman"/>
                <w:sz w:val="16"/>
              </w:rPr>
              <w:t>Men</w:t>
            </w:r>
          </w:p>
        </w:tc>
        <w:tc>
          <w:tcPr>
            <w:tcW w:w="851"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14:paraId="3A3E7993" w14:textId="2EB64366" w:rsidR="00D403A9" w:rsidRPr="00D403A9" w:rsidRDefault="00D403A9" w:rsidP="00D403A9">
            <w:pPr>
              <w:jc w:val="center"/>
              <w:rPr>
                <w:rFonts w:ascii="Times New Roman" w:eastAsia="Times New Roman" w:hAnsi="Times New Roman" w:cs="Times New Roman"/>
                <w:b/>
                <w:bCs/>
                <w:sz w:val="16"/>
              </w:rPr>
            </w:pPr>
            <w:r>
              <w:rPr>
                <w:rFonts w:ascii="Times New Roman" w:eastAsia="Times New Roman" w:hAnsi="Times New Roman" w:cs="Times New Roman"/>
                <w:sz w:val="16"/>
              </w:rPr>
              <w:t>Women</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09CAD7F8" w14:textId="21446EA8" w:rsidR="00D403A9" w:rsidRPr="00D403A9" w:rsidRDefault="00D403A9" w:rsidP="00D403A9">
            <w:pPr>
              <w:ind w:firstLine="9"/>
              <w:jc w:val="center"/>
              <w:rPr>
                <w:rFonts w:ascii="Times New Roman" w:eastAsia="Times New Roman" w:hAnsi="Times New Roman" w:cs="Times New Roman"/>
                <w:b/>
                <w:bCs/>
                <w:sz w:val="16"/>
              </w:rPr>
            </w:pPr>
            <w:r>
              <w:rPr>
                <w:rFonts w:ascii="Times New Roman" w:eastAsia="Times New Roman" w:hAnsi="Times New Roman" w:cs="Times New Roman"/>
                <w:sz w:val="16"/>
              </w:rPr>
              <w:t>Fathers</w:t>
            </w:r>
          </w:p>
        </w:tc>
      </w:tr>
      <w:tr w:rsidR="00E83E7D" w14:paraId="6D05BC83" w14:textId="77777777" w:rsidTr="00D403A9">
        <w:tblPrEx>
          <w:tblCellMar>
            <w:top w:w="0" w:type="dxa"/>
            <w:bottom w:w="0" w:type="dxa"/>
          </w:tblCellMar>
        </w:tblPrEx>
        <w:trPr>
          <w:trHeight w:val="270"/>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16BD9B5E" w14:textId="77777777" w:rsidR="00E83E7D" w:rsidRDefault="00000000">
            <w:r>
              <w:rPr>
                <w:rFonts w:ascii="Times New Roman" w:eastAsia="Times New Roman" w:hAnsi="Times New Roman" w:cs="Times New Roman"/>
                <w:sz w:val="16"/>
              </w:rPr>
              <w:t>No school</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02FE2E5C" w14:textId="77777777" w:rsidR="00E83E7D" w:rsidRDefault="00000000">
            <w:pPr>
              <w:jc w:val="center"/>
            </w:pPr>
            <w:r>
              <w:rPr>
                <w:rFonts w:ascii="Times New Roman" w:eastAsia="Times New Roman" w:hAnsi="Times New Roman" w:cs="Times New Roman"/>
                <w:sz w:val="16"/>
              </w:rPr>
              <w:t>0.6</w:t>
            </w:r>
          </w:p>
        </w:tc>
        <w:tc>
          <w:tcPr>
            <w:tcW w:w="798" w:type="dxa"/>
            <w:tcBorders>
              <w:top w:val="single" w:sz="2" w:space="0" w:color="000000"/>
              <w:left w:val="single" w:sz="2" w:space="0" w:color="000000"/>
              <w:bottom w:val="single" w:sz="4" w:space="0" w:color="000000"/>
              <w:right w:val="single" w:sz="2" w:space="0" w:color="000000"/>
            </w:tcBorders>
            <w:shd w:val="clear" w:color="auto" w:fill="BFBFBF"/>
            <w:tcMar>
              <w:left w:w="70" w:type="dxa"/>
              <w:right w:w="70" w:type="dxa"/>
            </w:tcMar>
          </w:tcPr>
          <w:p w14:paraId="6C451E4A" w14:textId="77777777" w:rsidR="00E83E7D" w:rsidRDefault="00000000">
            <w:pPr>
              <w:ind w:firstLine="284"/>
              <w:jc w:val="both"/>
            </w:pPr>
            <w:r>
              <w:rPr>
                <w:rFonts w:ascii="Times New Roman" w:eastAsia="Times New Roman" w:hAnsi="Times New Roman" w:cs="Times New Roman"/>
                <w:sz w:val="16"/>
              </w:rPr>
              <w:t>1.0</w:t>
            </w:r>
          </w:p>
        </w:tc>
        <w:tc>
          <w:tcPr>
            <w:tcW w:w="667"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32A7F6CB" w14:textId="77777777" w:rsidR="00E83E7D" w:rsidRDefault="00000000">
            <w:pPr>
              <w:jc w:val="center"/>
            </w:pPr>
            <w:r>
              <w:rPr>
                <w:rFonts w:ascii="Times New Roman" w:eastAsia="Times New Roman" w:hAnsi="Times New Roman" w:cs="Times New Roman"/>
                <w:sz w:val="16"/>
              </w:rPr>
              <w:t>0.1</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70B3A887" w14:textId="77777777" w:rsidR="00E83E7D" w:rsidRDefault="00000000">
            <w:pPr>
              <w:jc w:val="center"/>
            </w:pPr>
            <w:r>
              <w:rPr>
                <w:rFonts w:ascii="Times New Roman" w:eastAsia="Times New Roman" w:hAnsi="Times New Roman" w:cs="Times New Roman"/>
                <w:sz w:val="16"/>
              </w:rPr>
              <w:t>0.2</w:t>
            </w:r>
          </w:p>
        </w:tc>
        <w:tc>
          <w:tcPr>
            <w:tcW w:w="1134" w:type="dxa"/>
            <w:tcBorders>
              <w:top w:val="single" w:sz="8" w:space="0" w:color="000000"/>
              <w:left w:val="single" w:sz="2" w:space="0" w:color="000000"/>
              <w:bottom w:val="single" w:sz="4" w:space="0" w:color="000000"/>
              <w:right w:val="single" w:sz="4" w:space="0" w:color="000000"/>
            </w:tcBorders>
            <w:shd w:val="clear" w:color="auto" w:fill="FFFFFF"/>
            <w:tcMar>
              <w:left w:w="70" w:type="dxa"/>
              <w:right w:w="70" w:type="dxa"/>
            </w:tcMar>
          </w:tcPr>
          <w:p w14:paraId="37553AA1" w14:textId="77777777" w:rsidR="00E83E7D" w:rsidRDefault="00000000">
            <w:pPr>
              <w:jc w:val="center"/>
            </w:pPr>
            <w:r>
              <w:rPr>
                <w:rFonts w:ascii="Times New Roman" w:eastAsia="Times New Roman" w:hAnsi="Times New Roman" w:cs="Times New Roman"/>
                <w:sz w:val="16"/>
              </w:rPr>
              <w:t>1.01</w:t>
            </w:r>
          </w:p>
        </w:tc>
        <w:tc>
          <w:tcPr>
            <w:tcW w:w="851"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14:paraId="5BB7086E" w14:textId="77777777" w:rsidR="00E83E7D" w:rsidRDefault="00000000">
            <w:pPr>
              <w:jc w:val="center"/>
            </w:pPr>
            <w:r>
              <w:rPr>
                <w:rFonts w:ascii="Times New Roman" w:eastAsia="Times New Roman" w:hAnsi="Times New Roman" w:cs="Times New Roman"/>
                <w:sz w:val="16"/>
              </w:rPr>
              <w:t>-</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17CB4AEA" w14:textId="77777777" w:rsidR="00E83E7D" w:rsidRDefault="00000000">
            <w:pPr>
              <w:ind w:firstLine="9"/>
              <w:jc w:val="center"/>
            </w:pPr>
            <w:r>
              <w:rPr>
                <w:rFonts w:ascii="Times New Roman" w:eastAsia="Times New Roman" w:hAnsi="Times New Roman" w:cs="Times New Roman"/>
                <w:sz w:val="16"/>
              </w:rPr>
              <w:t>-</w:t>
            </w:r>
          </w:p>
        </w:tc>
      </w:tr>
      <w:tr w:rsidR="00E83E7D" w14:paraId="137B12FF" w14:textId="77777777" w:rsidTr="00D403A9">
        <w:tblPrEx>
          <w:tblCellMar>
            <w:top w:w="0" w:type="dxa"/>
            <w:bottom w:w="0" w:type="dxa"/>
          </w:tblCellMar>
        </w:tblPrEx>
        <w:trPr>
          <w:trHeight w:val="260"/>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101DCEB3" w14:textId="77777777" w:rsidR="00E83E7D" w:rsidRDefault="00000000">
            <w:r>
              <w:rPr>
                <w:rFonts w:ascii="Times New Roman" w:eastAsia="Times New Roman" w:hAnsi="Times New Roman" w:cs="Times New Roman"/>
                <w:sz w:val="16"/>
              </w:rPr>
              <w:t>Incomplete basic</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628F6C16" w14:textId="77777777" w:rsidR="00E83E7D" w:rsidRDefault="00000000">
            <w:pPr>
              <w:jc w:val="center"/>
            </w:pPr>
            <w:r>
              <w:rPr>
                <w:rFonts w:ascii="Times New Roman" w:eastAsia="Times New Roman" w:hAnsi="Times New Roman" w:cs="Times New Roman"/>
                <w:sz w:val="16"/>
              </w:rPr>
              <w:t>3.5</w:t>
            </w:r>
          </w:p>
        </w:tc>
        <w:tc>
          <w:tcPr>
            <w:tcW w:w="798" w:type="dxa"/>
            <w:tcBorders>
              <w:top w:val="single" w:sz="2" w:space="0" w:color="000000"/>
              <w:left w:val="single" w:sz="2" w:space="0" w:color="000000"/>
              <w:bottom w:val="single" w:sz="4" w:space="0" w:color="000000"/>
              <w:right w:val="single" w:sz="2" w:space="0" w:color="000000"/>
            </w:tcBorders>
            <w:shd w:val="clear" w:color="auto" w:fill="BFBFBF"/>
            <w:tcMar>
              <w:left w:w="70" w:type="dxa"/>
              <w:right w:w="70" w:type="dxa"/>
            </w:tcMar>
          </w:tcPr>
          <w:p w14:paraId="333277A3" w14:textId="77777777" w:rsidR="00E83E7D" w:rsidRDefault="00000000">
            <w:pPr>
              <w:ind w:firstLine="284"/>
              <w:jc w:val="both"/>
            </w:pPr>
            <w:r>
              <w:rPr>
                <w:rFonts w:ascii="Times New Roman" w:eastAsia="Times New Roman" w:hAnsi="Times New Roman" w:cs="Times New Roman"/>
                <w:sz w:val="16"/>
              </w:rPr>
              <w:t>5.6</w:t>
            </w:r>
          </w:p>
        </w:tc>
        <w:tc>
          <w:tcPr>
            <w:tcW w:w="667"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3224746B" w14:textId="77777777" w:rsidR="00E83E7D" w:rsidRDefault="00000000">
            <w:pPr>
              <w:jc w:val="center"/>
            </w:pPr>
            <w:r>
              <w:rPr>
                <w:rFonts w:ascii="Times New Roman" w:eastAsia="Times New Roman" w:hAnsi="Times New Roman" w:cs="Times New Roman"/>
                <w:sz w:val="16"/>
              </w:rPr>
              <w:t>0.3</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3B92FC4C" w14:textId="77777777" w:rsidR="00E83E7D" w:rsidRDefault="00000000">
            <w:pPr>
              <w:jc w:val="center"/>
            </w:pPr>
            <w:r>
              <w:rPr>
                <w:rFonts w:ascii="Times New Roman" w:eastAsia="Times New Roman" w:hAnsi="Times New Roman" w:cs="Times New Roman"/>
                <w:sz w:val="16"/>
              </w:rPr>
              <w:t>0.4</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14:paraId="10E5B7C5" w14:textId="77777777" w:rsidR="00E83E7D" w:rsidRDefault="00000000">
            <w:pPr>
              <w:jc w:val="center"/>
            </w:pPr>
            <w:r>
              <w:rPr>
                <w:rFonts w:ascii="Times New Roman" w:eastAsia="Times New Roman" w:hAnsi="Times New Roman" w:cs="Times New Roman"/>
                <w:sz w:val="16"/>
              </w:rPr>
              <w:t>5.27</w:t>
            </w:r>
          </w:p>
        </w:tc>
        <w:tc>
          <w:tcPr>
            <w:tcW w:w="851"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14:paraId="57C7B0F8" w14:textId="77777777" w:rsidR="00E83E7D" w:rsidRDefault="00000000">
            <w:pPr>
              <w:jc w:val="center"/>
            </w:pPr>
            <w:r>
              <w:rPr>
                <w:rFonts w:ascii="Times New Roman" w:eastAsia="Times New Roman" w:hAnsi="Times New Roman" w:cs="Times New Roman"/>
                <w:sz w:val="16"/>
              </w:rPr>
              <w:t>-</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22DD00F9" w14:textId="77777777" w:rsidR="00E83E7D" w:rsidRDefault="00000000">
            <w:pPr>
              <w:ind w:firstLine="9"/>
              <w:jc w:val="center"/>
            </w:pPr>
            <w:r>
              <w:rPr>
                <w:rFonts w:ascii="Times New Roman" w:eastAsia="Times New Roman" w:hAnsi="Times New Roman" w:cs="Times New Roman"/>
                <w:sz w:val="16"/>
              </w:rPr>
              <w:t>-</w:t>
            </w:r>
          </w:p>
        </w:tc>
      </w:tr>
      <w:tr w:rsidR="00E83E7D" w14:paraId="2EC7343E" w14:textId="77777777" w:rsidTr="00D403A9">
        <w:tblPrEx>
          <w:tblCellMar>
            <w:top w:w="0" w:type="dxa"/>
            <w:bottom w:w="0" w:type="dxa"/>
          </w:tblCellMar>
        </w:tblPrEx>
        <w:trPr>
          <w:trHeight w:val="264"/>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73947F80" w14:textId="77777777" w:rsidR="00E83E7D" w:rsidRDefault="00000000">
            <w:r>
              <w:rPr>
                <w:rFonts w:ascii="Times New Roman" w:eastAsia="Times New Roman" w:hAnsi="Times New Roman" w:cs="Times New Roman"/>
                <w:sz w:val="16"/>
              </w:rPr>
              <w:t>Basic</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22EC3A8D" w14:textId="77777777" w:rsidR="00E83E7D" w:rsidRDefault="00000000">
            <w:pPr>
              <w:jc w:val="center"/>
            </w:pPr>
            <w:r>
              <w:rPr>
                <w:rFonts w:ascii="Times New Roman" w:eastAsia="Times New Roman" w:hAnsi="Times New Roman" w:cs="Times New Roman"/>
                <w:sz w:val="16"/>
              </w:rPr>
              <w:t>21.9</w:t>
            </w:r>
          </w:p>
        </w:tc>
        <w:tc>
          <w:tcPr>
            <w:tcW w:w="798" w:type="dxa"/>
            <w:tcBorders>
              <w:top w:val="single" w:sz="2" w:space="0" w:color="000000"/>
              <w:left w:val="single" w:sz="2" w:space="0" w:color="000000"/>
              <w:bottom w:val="single" w:sz="4" w:space="0" w:color="000000"/>
              <w:right w:val="single" w:sz="2" w:space="0" w:color="000000"/>
            </w:tcBorders>
            <w:shd w:val="clear" w:color="auto" w:fill="BFBFBF"/>
            <w:tcMar>
              <w:left w:w="70" w:type="dxa"/>
              <w:right w:w="70" w:type="dxa"/>
            </w:tcMar>
          </w:tcPr>
          <w:p w14:paraId="5B8F002C" w14:textId="77777777" w:rsidR="00E83E7D" w:rsidRDefault="00000000">
            <w:pPr>
              <w:ind w:firstLine="284"/>
              <w:jc w:val="both"/>
            </w:pPr>
            <w:r>
              <w:rPr>
                <w:rFonts w:ascii="Times New Roman" w:eastAsia="Times New Roman" w:hAnsi="Times New Roman" w:cs="Times New Roman"/>
                <w:sz w:val="16"/>
              </w:rPr>
              <w:t>25.9</w:t>
            </w:r>
          </w:p>
        </w:tc>
        <w:tc>
          <w:tcPr>
            <w:tcW w:w="667"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180686BB" w14:textId="77777777" w:rsidR="00E83E7D" w:rsidRDefault="00000000">
            <w:pPr>
              <w:jc w:val="center"/>
            </w:pPr>
            <w:r>
              <w:rPr>
                <w:rFonts w:ascii="Times New Roman" w:eastAsia="Times New Roman" w:hAnsi="Times New Roman" w:cs="Times New Roman"/>
                <w:sz w:val="16"/>
              </w:rPr>
              <w:t>3.8</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4D6B793E" w14:textId="77777777" w:rsidR="00E83E7D" w:rsidRDefault="00000000">
            <w:pPr>
              <w:jc w:val="center"/>
            </w:pPr>
            <w:r>
              <w:rPr>
                <w:rFonts w:ascii="Times New Roman" w:eastAsia="Times New Roman" w:hAnsi="Times New Roman" w:cs="Times New Roman"/>
                <w:sz w:val="16"/>
              </w:rPr>
              <w:t>5.9</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14:paraId="2F171A0A" w14:textId="77777777" w:rsidR="00E83E7D" w:rsidRDefault="00000000">
            <w:pPr>
              <w:jc w:val="center"/>
            </w:pPr>
            <w:r>
              <w:rPr>
                <w:rFonts w:ascii="Times New Roman" w:eastAsia="Times New Roman" w:hAnsi="Times New Roman" w:cs="Times New Roman"/>
                <w:sz w:val="16"/>
              </w:rPr>
              <w:t>17.8</w:t>
            </w:r>
          </w:p>
        </w:tc>
        <w:tc>
          <w:tcPr>
            <w:tcW w:w="851"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14:paraId="244EB54C" w14:textId="77777777" w:rsidR="00E83E7D" w:rsidRDefault="00000000">
            <w:pPr>
              <w:jc w:val="center"/>
            </w:pPr>
            <w:r>
              <w:rPr>
                <w:rFonts w:ascii="Times New Roman" w:eastAsia="Times New Roman" w:hAnsi="Times New Roman" w:cs="Times New Roman"/>
                <w:sz w:val="16"/>
              </w:rPr>
              <w:t>4.5</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7A8DD8E8" w14:textId="77777777" w:rsidR="00E83E7D" w:rsidRDefault="00000000">
            <w:pPr>
              <w:ind w:firstLine="9"/>
              <w:jc w:val="center"/>
            </w:pPr>
            <w:r>
              <w:rPr>
                <w:rFonts w:ascii="Times New Roman" w:eastAsia="Times New Roman" w:hAnsi="Times New Roman" w:cs="Times New Roman"/>
                <w:sz w:val="16"/>
              </w:rPr>
              <w:t>5.5</w:t>
            </w:r>
          </w:p>
        </w:tc>
      </w:tr>
      <w:tr w:rsidR="00E83E7D" w14:paraId="138F86BB" w14:textId="77777777" w:rsidTr="00D403A9">
        <w:tblPrEx>
          <w:tblCellMar>
            <w:top w:w="0" w:type="dxa"/>
            <w:bottom w:w="0" w:type="dxa"/>
          </w:tblCellMar>
        </w:tblPrEx>
        <w:trPr>
          <w:trHeight w:val="268"/>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2B2C0105" w14:textId="77777777" w:rsidR="00E83E7D" w:rsidRDefault="00000000">
            <w:r>
              <w:rPr>
                <w:rFonts w:ascii="Times New Roman" w:eastAsia="Times New Roman" w:hAnsi="Times New Roman" w:cs="Times New Roman"/>
                <w:sz w:val="16"/>
              </w:rPr>
              <w:t>High School</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522FF621" w14:textId="77777777" w:rsidR="00E83E7D" w:rsidRDefault="00000000">
            <w:pPr>
              <w:jc w:val="center"/>
            </w:pPr>
            <w:r>
              <w:rPr>
                <w:rFonts w:ascii="Times New Roman" w:eastAsia="Times New Roman" w:hAnsi="Times New Roman" w:cs="Times New Roman"/>
                <w:sz w:val="16"/>
              </w:rPr>
              <w:t>60.9</w:t>
            </w:r>
          </w:p>
        </w:tc>
        <w:tc>
          <w:tcPr>
            <w:tcW w:w="798"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15023D9C" w14:textId="77777777" w:rsidR="00E83E7D" w:rsidRDefault="00000000">
            <w:pPr>
              <w:ind w:firstLine="284"/>
              <w:jc w:val="both"/>
            </w:pPr>
            <w:r>
              <w:rPr>
                <w:rFonts w:ascii="Times New Roman" w:eastAsia="Times New Roman" w:hAnsi="Times New Roman" w:cs="Times New Roman"/>
                <w:sz w:val="16"/>
              </w:rPr>
              <w:t>51.6</w:t>
            </w:r>
          </w:p>
        </w:tc>
        <w:tc>
          <w:tcPr>
            <w:tcW w:w="667" w:type="dxa"/>
            <w:tcBorders>
              <w:top w:val="single" w:sz="2" w:space="0" w:color="000000"/>
              <w:left w:val="single" w:sz="2" w:space="0" w:color="000000"/>
              <w:bottom w:val="single" w:sz="4" w:space="0" w:color="000000"/>
              <w:right w:val="single" w:sz="4" w:space="0" w:color="000000"/>
            </w:tcBorders>
            <w:shd w:val="clear" w:color="auto" w:fill="BFBFBF"/>
            <w:tcMar>
              <w:left w:w="70" w:type="dxa"/>
              <w:right w:w="70" w:type="dxa"/>
            </w:tcMar>
          </w:tcPr>
          <w:p w14:paraId="1202598C" w14:textId="77777777" w:rsidR="00E83E7D" w:rsidRDefault="00000000">
            <w:pPr>
              <w:jc w:val="center"/>
            </w:pPr>
            <w:r>
              <w:rPr>
                <w:rFonts w:ascii="Times New Roman" w:eastAsia="Times New Roman" w:hAnsi="Times New Roman" w:cs="Times New Roman"/>
                <w:sz w:val="16"/>
              </w:rPr>
              <w:t>51.8</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7F321B75" w14:textId="77777777" w:rsidR="00E83E7D" w:rsidRDefault="00000000">
            <w:pPr>
              <w:jc w:val="center"/>
            </w:pPr>
            <w:r>
              <w:rPr>
                <w:rFonts w:ascii="Times New Roman" w:eastAsia="Times New Roman" w:hAnsi="Times New Roman" w:cs="Times New Roman"/>
                <w:sz w:val="16"/>
              </w:rPr>
              <w:t>55.5</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14:paraId="40546245" w14:textId="77777777" w:rsidR="00E83E7D" w:rsidRDefault="00000000">
            <w:pPr>
              <w:jc w:val="center"/>
            </w:pPr>
            <w:r>
              <w:rPr>
                <w:rFonts w:ascii="Times New Roman" w:eastAsia="Times New Roman" w:hAnsi="Times New Roman" w:cs="Times New Roman"/>
                <w:sz w:val="16"/>
              </w:rPr>
              <w:t>53.08</w:t>
            </w:r>
          </w:p>
        </w:tc>
        <w:tc>
          <w:tcPr>
            <w:tcW w:w="851" w:type="dxa"/>
            <w:tcBorders>
              <w:top w:val="single" w:sz="2" w:space="0" w:color="000000"/>
              <w:left w:val="single" w:sz="4" w:space="0" w:color="000000"/>
              <w:bottom w:val="single" w:sz="4" w:space="0" w:color="000000"/>
              <w:right w:val="single" w:sz="4" w:space="0" w:color="000000"/>
            </w:tcBorders>
            <w:shd w:val="clear" w:color="auto" w:fill="FFFFFF"/>
            <w:tcMar>
              <w:left w:w="70" w:type="dxa"/>
              <w:right w:w="70" w:type="dxa"/>
            </w:tcMar>
          </w:tcPr>
          <w:p w14:paraId="004ADA32" w14:textId="77777777" w:rsidR="00E83E7D" w:rsidRDefault="00000000">
            <w:pPr>
              <w:jc w:val="center"/>
            </w:pPr>
            <w:r>
              <w:rPr>
                <w:rFonts w:ascii="Times New Roman" w:eastAsia="Times New Roman" w:hAnsi="Times New Roman" w:cs="Times New Roman"/>
                <w:sz w:val="16"/>
              </w:rPr>
              <w:t>59.0</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52A15D92" w14:textId="77777777" w:rsidR="00E83E7D" w:rsidRDefault="00000000">
            <w:pPr>
              <w:ind w:firstLine="9"/>
              <w:jc w:val="center"/>
            </w:pPr>
            <w:r>
              <w:rPr>
                <w:rFonts w:ascii="Times New Roman" w:eastAsia="Times New Roman" w:hAnsi="Times New Roman" w:cs="Times New Roman"/>
                <w:sz w:val="16"/>
              </w:rPr>
              <w:t>58.4</w:t>
            </w:r>
          </w:p>
        </w:tc>
      </w:tr>
      <w:tr w:rsidR="00E83E7D" w14:paraId="363704CA" w14:textId="77777777" w:rsidTr="00D403A9">
        <w:tblPrEx>
          <w:tblCellMar>
            <w:top w:w="0" w:type="dxa"/>
            <w:bottom w:w="0" w:type="dxa"/>
          </w:tblCellMar>
        </w:tblPrEx>
        <w:trPr>
          <w:trHeight w:val="258"/>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043069E3" w14:textId="77777777" w:rsidR="00E83E7D" w:rsidRDefault="00000000">
            <w:r>
              <w:rPr>
                <w:rFonts w:ascii="Times New Roman" w:eastAsia="Times New Roman" w:hAnsi="Times New Roman" w:cs="Times New Roman"/>
                <w:sz w:val="16"/>
              </w:rPr>
              <w:t>College and university</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505AD48C" w14:textId="77777777" w:rsidR="00E83E7D" w:rsidRDefault="00000000">
            <w:pPr>
              <w:jc w:val="center"/>
            </w:pPr>
            <w:r>
              <w:rPr>
                <w:rFonts w:ascii="Times New Roman" w:eastAsia="Times New Roman" w:hAnsi="Times New Roman" w:cs="Times New Roman"/>
                <w:sz w:val="16"/>
              </w:rPr>
              <w:t>13.3</w:t>
            </w:r>
          </w:p>
        </w:tc>
        <w:tc>
          <w:tcPr>
            <w:tcW w:w="798"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4798E9B5" w14:textId="77777777" w:rsidR="00E83E7D" w:rsidRDefault="00000000">
            <w:pPr>
              <w:ind w:firstLine="284"/>
              <w:jc w:val="both"/>
            </w:pPr>
            <w:r>
              <w:rPr>
                <w:rFonts w:ascii="Times New Roman" w:eastAsia="Times New Roman" w:hAnsi="Times New Roman" w:cs="Times New Roman"/>
                <w:sz w:val="16"/>
              </w:rPr>
              <w:t>15.9</w:t>
            </w:r>
          </w:p>
        </w:tc>
        <w:tc>
          <w:tcPr>
            <w:tcW w:w="667" w:type="dxa"/>
            <w:tcBorders>
              <w:top w:val="single" w:sz="2" w:space="0" w:color="000000"/>
              <w:left w:val="single" w:sz="2" w:space="0" w:color="000000"/>
              <w:bottom w:val="single" w:sz="4" w:space="0" w:color="000000"/>
              <w:right w:val="single" w:sz="4" w:space="0" w:color="000000"/>
            </w:tcBorders>
            <w:shd w:val="clear" w:color="auto" w:fill="BFBFBF"/>
            <w:tcMar>
              <w:left w:w="70" w:type="dxa"/>
              <w:right w:w="70" w:type="dxa"/>
            </w:tcMar>
          </w:tcPr>
          <w:p w14:paraId="504A9F57" w14:textId="77777777" w:rsidR="00E83E7D" w:rsidRDefault="00000000">
            <w:pPr>
              <w:jc w:val="center"/>
            </w:pPr>
            <w:r>
              <w:rPr>
                <w:rFonts w:ascii="Times New Roman" w:eastAsia="Times New Roman" w:hAnsi="Times New Roman" w:cs="Times New Roman"/>
                <w:sz w:val="16"/>
              </w:rPr>
              <w:t>38.2</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59CFBD99" w14:textId="77777777" w:rsidR="00E83E7D" w:rsidRDefault="00000000">
            <w:pPr>
              <w:jc w:val="center"/>
            </w:pPr>
            <w:r>
              <w:rPr>
                <w:rFonts w:ascii="Times New Roman" w:eastAsia="Times New Roman" w:hAnsi="Times New Roman" w:cs="Times New Roman"/>
                <w:sz w:val="16"/>
              </w:rPr>
              <w:t>33.0</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14:paraId="11A96D21" w14:textId="77777777" w:rsidR="00E83E7D" w:rsidRDefault="00000000">
            <w:pPr>
              <w:jc w:val="center"/>
            </w:pPr>
            <w:r>
              <w:rPr>
                <w:rFonts w:ascii="Times New Roman" w:eastAsia="Times New Roman" w:hAnsi="Times New Roman" w:cs="Times New Roman"/>
                <w:sz w:val="16"/>
              </w:rPr>
              <w:t>22.45</w:t>
            </w:r>
          </w:p>
        </w:tc>
        <w:tc>
          <w:tcPr>
            <w:tcW w:w="851" w:type="dxa"/>
            <w:tcBorders>
              <w:top w:val="single" w:sz="2" w:space="0" w:color="000000"/>
              <w:left w:val="single" w:sz="4" w:space="0" w:color="000000"/>
              <w:bottom w:val="single" w:sz="2" w:space="0" w:color="000000"/>
              <w:right w:val="single" w:sz="4" w:space="0" w:color="000000"/>
            </w:tcBorders>
            <w:shd w:val="clear" w:color="auto" w:fill="FFFFFF"/>
            <w:tcMar>
              <w:left w:w="70" w:type="dxa"/>
              <w:right w:w="70" w:type="dxa"/>
            </w:tcMar>
          </w:tcPr>
          <w:p w14:paraId="2BCC3699" w14:textId="77777777" w:rsidR="00E83E7D" w:rsidRDefault="00000000">
            <w:pPr>
              <w:jc w:val="center"/>
            </w:pPr>
            <w:r>
              <w:rPr>
                <w:rFonts w:ascii="Times New Roman" w:eastAsia="Times New Roman" w:hAnsi="Times New Roman" w:cs="Times New Roman"/>
                <w:sz w:val="16"/>
              </w:rPr>
              <w:t>31.3</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54575A7B" w14:textId="77777777" w:rsidR="00E83E7D" w:rsidRDefault="00000000">
            <w:pPr>
              <w:ind w:firstLine="9"/>
              <w:jc w:val="center"/>
            </w:pPr>
            <w:r>
              <w:rPr>
                <w:rFonts w:ascii="Times New Roman" w:eastAsia="Times New Roman" w:hAnsi="Times New Roman" w:cs="Times New Roman"/>
                <w:sz w:val="16"/>
              </w:rPr>
              <w:t>31.7</w:t>
            </w:r>
          </w:p>
        </w:tc>
      </w:tr>
      <w:tr w:rsidR="00E83E7D" w14:paraId="70C5056A" w14:textId="77777777" w:rsidTr="00D403A9">
        <w:tblPrEx>
          <w:tblCellMar>
            <w:top w:w="0" w:type="dxa"/>
            <w:bottom w:w="0" w:type="dxa"/>
          </w:tblCellMar>
        </w:tblPrEx>
        <w:trPr>
          <w:trHeight w:val="262"/>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77BF86A1" w14:textId="77777777" w:rsidR="00E83E7D" w:rsidRDefault="00000000">
            <w:r>
              <w:rPr>
                <w:rFonts w:ascii="Times New Roman" w:eastAsia="Times New Roman" w:hAnsi="Times New Roman" w:cs="Times New Roman"/>
                <w:sz w:val="16"/>
              </w:rPr>
              <w:t>Other</w:t>
            </w:r>
          </w:p>
        </w:tc>
        <w:tc>
          <w:tcPr>
            <w:tcW w:w="714" w:type="dxa"/>
            <w:tcBorders>
              <w:top w:val="single" w:sz="2" w:space="0" w:color="000000"/>
              <w:left w:val="single" w:sz="8" w:space="0" w:color="000000"/>
              <w:bottom w:val="single" w:sz="4" w:space="0" w:color="000000"/>
              <w:right w:val="single" w:sz="4" w:space="0" w:color="000000"/>
            </w:tcBorders>
            <w:shd w:val="clear" w:color="auto" w:fill="BFBFBF"/>
            <w:tcMar>
              <w:left w:w="70" w:type="dxa"/>
              <w:right w:w="70" w:type="dxa"/>
            </w:tcMar>
          </w:tcPr>
          <w:p w14:paraId="099CD91C" w14:textId="77777777" w:rsidR="00E83E7D" w:rsidRDefault="00E83E7D">
            <w:pPr>
              <w:jc w:val="center"/>
            </w:pPr>
          </w:p>
        </w:tc>
        <w:tc>
          <w:tcPr>
            <w:tcW w:w="798"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6141BC25" w14:textId="77777777" w:rsidR="00E83E7D" w:rsidRDefault="00000000">
            <w:pPr>
              <w:ind w:firstLine="284"/>
              <w:jc w:val="both"/>
            </w:pPr>
            <w:r>
              <w:rPr>
                <w:rFonts w:ascii="Times New Roman" w:eastAsia="Times New Roman" w:hAnsi="Times New Roman" w:cs="Times New Roman"/>
                <w:sz w:val="16"/>
              </w:rPr>
              <w:t> </w:t>
            </w:r>
          </w:p>
        </w:tc>
        <w:tc>
          <w:tcPr>
            <w:tcW w:w="667" w:type="dxa"/>
            <w:tcBorders>
              <w:top w:val="single" w:sz="2" w:space="0" w:color="000000"/>
              <w:left w:val="single" w:sz="2" w:space="0" w:color="000000"/>
              <w:bottom w:val="single" w:sz="4" w:space="0" w:color="000000"/>
              <w:right w:val="single" w:sz="4" w:space="0" w:color="000000"/>
            </w:tcBorders>
            <w:shd w:val="clear" w:color="auto" w:fill="BFBFBF"/>
            <w:tcMar>
              <w:left w:w="70" w:type="dxa"/>
              <w:right w:w="70" w:type="dxa"/>
            </w:tcMar>
          </w:tcPr>
          <w:p w14:paraId="31DBC164" w14:textId="77777777" w:rsidR="00E83E7D" w:rsidRDefault="00000000">
            <w:pPr>
              <w:jc w:val="center"/>
            </w:pPr>
            <w:r>
              <w:rPr>
                <w:rFonts w:ascii="Times New Roman" w:eastAsia="Times New Roman" w:hAnsi="Times New Roman" w:cs="Times New Roman"/>
                <w:sz w:val="16"/>
              </w:rPr>
              <w:t>5.9</w:t>
            </w:r>
          </w:p>
        </w:tc>
        <w:tc>
          <w:tcPr>
            <w:tcW w:w="709" w:type="dxa"/>
            <w:tcBorders>
              <w:top w:val="single" w:sz="2" w:space="0" w:color="000000"/>
              <w:left w:val="single" w:sz="2" w:space="0" w:color="000000"/>
              <w:bottom w:val="single" w:sz="4" w:space="0" w:color="000000"/>
              <w:right w:val="single" w:sz="8" w:space="0" w:color="000000"/>
            </w:tcBorders>
            <w:shd w:val="clear" w:color="auto" w:fill="BFBFBF"/>
            <w:tcMar>
              <w:left w:w="70" w:type="dxa"/>
              <w:right w:w="70" w:type="dxa"/>
            </w:tcMar>
          </w:tcPr>
          <w:p w14:paraId="5696ED06" w14:textId="77777777" w:rsidR="00E83E7D" w:rsidRDefault="00000000">
            <w:pPr>
              <w:jc w:val="center"/>
            </w:pPr>
            <w:r>
              <w:rPr>
                <w:rFonts w:ascii="Times New Roman" w:eastAsia="Times New Roman" w:hAnsi="Times New Roman" w:cs="Times New Roman"/>
                <w:sz w:val="16"/>
              </w:rPr>
              <w:t>5.1</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left w:w="70" w:type="dxa"/>
              <w:right w:w="70" w:type="dxa"/>
            </w:tcMar>
          </w:tcPr>
          <w:p w14:paraId="770FD4E5" w14:textId="77777777" w:rsidR="00E83E7D" w:rsidRDefault="00000000">
            <w:pPr>
              <w:jc w:val="center"/>
            </w:pPr>
            <w:r>
              <w:rPr>
                <w:rFonts w:ascii="Times New Roman" w:eastAsia="Times New Roman" w:hAnsi="Times New Roman" w:cs="Times New Roman"/>
                <w:sz w:val="16"/>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5674D9A" w14:textId="77777777" w:rsidR="00E83E7D" w:rsidRDefault="00000000">
            <w:pPr>
              <w:jc w:val="center"/>
            </w:pPr>
            <w:r>
              <w:rPr>
                <w:rFonts w:ascii="Times New Roman" w:eastAsia="Times New Roman" w:hAnsi="Times New Roman" w:cs="Times New Roman"/>
                <w:sz w:val="16"/>
              </w:rPr>
              <w:t>5.2</w:t>
            </w:r>
          </w:p>
        </w:tc>
        <w:tc>
          <w:tcPr>
            <w:tcW w:w="708" w:type="dxa"/>
            <w:tcBorders>
              <w:top w:val="single" w:sz="2" w:space="0" w:color="000000"/>
              <w:left w:val="single" w:sz="2" w:space="0" w:color="000000"/>
              <w:bottom w:val="single" w:sz="4" w:space="0" w:color="000000"/>
              <w:right w:val="single" w:sz="8" w:space="0" w:color="000000"/>
            </w:tcBorders>
            <w:shd w:val="clear" w:color="auto" w:fill="FFFFFF"/>
            <w:tcMar>
              <w:left w:w="70" w:type="dxa"/>
              <w:right w:w="70" w:type="dxa"/>
            </w:tcMar>
          </w:tcPr>
          <w:p w14:paraId="5718E2E3" w14:textId="77777777" w:rsidR="00E83E7D" w:rsidRDefault="00000000">
            <w:pPr>
              <w:ind w:firstLine="9"/>
              <w:jc w:val="center"/>
            </w:pPr>
            <w:r>
              <w:rPr>
                <w:rFonts w:ascii="Times New Roman" w:eastAsia="Times New Roman" w:hAnsi="Times New Roman" w:cs="Times New Roman"/>
                <w:sz w:val="16"/>
              </w:rPr>
              <w:t>4.3</w:t>
            </w:r>
          </w:p>
        </w:tc>
      </w:tr>
      <w:tr w:rsidR="00E83E7D" w14:paraId="27120209" w14:textId="77777777" w:rsidTr="00D403A9">
        <w:tblPrEx>
          <w:tblCellMar>
            <w:top w:w="0" w:type="dxa"/>
            <w:bottom w:w="0" w:type="dxa"/>
          </w:tblCellMar>
        </w:tblPrEx>
        <w:trPr>
          <w:trHeight w:val="266"/>
          <w:jc w:val="center"/>
        </w:trPr>
        <w:tc>
          <w:tcPr>
            <w:tcW w:w="1628" w:type="dxa"/>
            <w:tcBorders>
              <w:top w:val="single" w:sz="2" w:space="0" w:color="000000"/>
              <w:left w:val="single" w:sz="8" w:space="0" w:color="000000"/>
              <w:bottom w:val="single" w:sz="8" w:space="0" w:color="000000"/>
              <w:right w:val="single" w:sz="2" w:space="0" w:color="000000"/>
            </w:tcBorders>
            <w:shd w:val="clear" w:color="auto" w:fill="FFFFFF"/>
            <w:tcMar>
              <w:left w:w="70" w:type="dxa"/>
              <w:right w:w="70" w:type="dxa"/>
            </w:tcMar>
          </w:tcPr>
          <w:p w14:paraId="516DA360" w14:textId="77777777" w:rsidR="00E83E7D" w:rsidRDefault="00000000">
            <w:r>
              <w:rPr>
                <w:rFonts w:ascii="Times New Roman" w:eastAsia="Times New Roman" w:hAnsi="Times New Roman" w:cs="Times New Roman"/>
                <w:b/>
                <w:sz w:val="16"/>
              </w:rPr>
              <w:t>In total</w:t>
            </w:r>
          </w:p>
        </w:tc>
        <w:tc>
          <w:tcPr>
            <w:tcW w:w="714" w:type="dxa"/>
            <w:tcBorders>
              <w:top w:val="single" w:sz="2" w:space="0" w:color="000000"/>
              <w:left w:val="single" w:sz="8" w:space="0" w:color="000000"/>
              <w:bottom w:val="single" w:sz="8" w:space="0" w:color="000000"/>
              <w:right w:val="single" w:sz="4" w:space="0" w:color="000000"/>
            </w:tcBorders>
            <w:shd w:val="clear" w:color="auto" w:fill="BFBFBF"/>
            <w:tcMar>
              <w:left w:w="70" w:type="dxa"/>
              <w:right w:w="70" w:type="dxa"/>
            </w:tcMar>
          </w:tcPr>
          <w:p w14:paraId="76217B0E" w14:textId="77777777" w:rsidR="00E83E7D" w:rsidRDefault="00000000">
            <w:pPr>
              <w:jc w:val="center"/>
            </w:pPr>
            <w:r>
              <w:rPr>
                <w:rFonts w:ascii="Times New Roman" w:eastAsia="Times New Roman" w:hAnsi="Times New Roman" w:cs="Times New Roman"/>
                <w:b/>
                <w:sz w:val="16"/>
              </w:rPr>
              <w:t>100.2</w:t>
            </w:r>
          </w:p>
        </w:tc>
        <w:tc>
          <w:tcPr>
            <w:tcW w:w="798" w:type="dxa"/>
            <w:tcBorders>
              <w:top w:val="single" w:sz="2" w:space="0" w:color="000000"/>
              <w:left w:val="single" w:sz="2" w:space="0" w:color="000000"/>
              <w:bottom w:val="single" w:sz="8" w:space="0" w:color="000000"/>
              <w:right w:val="single" w:sz="8" w:space="0" w:color="000000"/>
            </w:tcBorders>
            <w:shd w:val="clear" w:color="auto" w:fill="BFBFBF"/>
            <w:tcMar>
              <w:left w:w="70" w:type="dxa"/>
              <w:right w:w="70" w:type="dxa"/>
            </w:tcMar>
          </w:tcPr>
          <w:p w14:paraId="7D7AB87A" w14:textId="77777777" w:rsidR="00E83E7D" w:rsidRDefault="00000000">
            <w:pPr>
              <w:ind w:firstLine="284"/>
              <w:jc w:val="both"/>
            </w:pPr>
            <w:r>
              <w:rPr>
                <w:rFonts w:ascii="Times New Roman" w:eastAsia="Times New Roman" w:hAnsi="Times New Roman" w:cs="Times New Roman"/>
                <w:b/>
                <w:sz w:val="16"/>
              </w:rPr>
              <w:t>100.0</w:t>
            </w:r>
          </w:p>
        </w:tc>
        <w:tc>
          <w:tcPr>
            <w:tcW w:w="667" w:type="dxa"/>
            <w:tcBorders>
              <w:top w:val="single" w:sz="2" w:space="0" w:color="000000"/>
              <w:left w:val="single" w:sz="2" w:space="0" w:color="000000"/>
              <w:bottom w:val="single" w:sz="8" w:space="0" w:color="000000"/>
              <w:right w:val="single" w:sz="4" w:space="0" w:color="000000"/>
            </w:tcBorders>
            <w:shd w:val="clear" w:color="auto" w:fill="BFBFBF"/>
            <w:tcMar>
              <w:left w:w="70" w:type="dxa"/>
              <w:right w:w="70" w:type="dxa"/>
            </w:tcMar>
          </w:tcPr>
          <w:p w14:paraId="68040BD7" w14:textId="77777777" w:rsidR="00E83E7D" w:rsidRDefault="00000000">
            <w:pPr>
              <w:jc w:val="center"/>
            </w:pPr>
            <w:r>
              <w:rPr>
                <w:rFonts w:ascii="Times New Roman" w:eastAsia="Times New Roman" w:hAnsi="Times New Roman" w:cs="Times New Roman"/>
                <w:b/>
                <w:sz w:val="16"/>
              </w:rPr>
              <w:t>100.0</w:t>
            </w:r>
          </w:p>
        </w:tc>
        <w:tc>
          <w:tcPr>
            <w:tcW w:w="709" w:type="dxa"/>
            <w:tcBorders>
              <w:top w:val="single" w:sz="2" w:space="0" w:color="000000"/>
              <w:left w:val="single" w:sz="2" w:space="0" w:color="000000"/>
              <w:bottom w:val="single" w:sz="8" w:space="0" w:color="000000"/>
              <w:right w:val="single" w:sz="8" w:space="0" w:color="000000"/>
            </w:tcBorders>
            <w:shd w:val="clear" w:color="auto" w:fill="BFBFBF"/>
            <w:tcMar>
              <w:left w:w="70" w:type="dxa"/>
              <w:right w:w="70" w:type="dxa"/>
            </w:tcMar>
          </w:tcPr>
          <w:p w14:paraId="7E472A1E" w14:textId="77777777" w:rsidR="00E83E7D" w:rsidRDefault="00000000">
            <w:pPr>
              <w:jc w:val="center"/>
            </w:pPr>
            <w:r>
              <w:rPr>
                <w:rFonts w:ascii="Times New Roman" w:eastAsia="Times New Roman" w:hAnsi="Times New Roman" w:cs="Times New Roman"/>
                <w:b/>
                <w:sz w:val="16"/>
              </w:rPr>
              <w:t>100.0</w:t>
            </w:r>
          </w:p>
        </w:tc>
        <w:tc>
          <w:tcPr>
            <w:tcW w:w="1134" w:type="dxa"/>
            <w:tcBorders>
              <w:top w:val="single" w:sz="4" w:space="0" w:color="000000"/>
              <w:left w:val="single" w:sz="4" w:space="0" w:color="000000"/>
              <w:bottom w:val="single" w:sz="8" w:space="0" w:color="000000"/>
              <w:right w:val="single" w:sz="4" w:space="0" w:color="000000"/>
            </w:tcBorders>
            <w:shd w:val="clear" w:color="auto" w:fill="FFFFFF"/>
            <w:tcMar>
              <w:left w:w="70" w:type="dxa"/>
              <w:right w:w="70" w:type="dxa"/>
            </w:tcMar>
          </w:tcPr>
          <w:p w14:paraId="0B27BA23" w14:textId="77777777" w:rsidR="00E83E7D" w:rsidRDefault="00000000">
            <w:pPr>
              <w:jc w:val="center"/>
            </w:pPr>
            <w:r>
              <w:rPr>
                <w:rFonts w:ascii="Times New Roman" w:eastAsia="Times New Roman" w:hAnsi="Times New Roman" w:cs="Times New Roman"/>
                <w:b/>
                <w:sz w:val="16"/>
              </w:rPr>
              <w:t>100.0</w:t>
            </w:r>
          </w:p>
        </w:tc>
        <w:tc>
          <w:tcPr>
            <w:tcW w:w="851" w:type="dxa"/>
            <w:tcBorders>
              <w:top w:val="single" w:sz="2" w:space="0" w:color="000000"/>
              <w:left w:val="single" w:sz="4" w:space="0" w:color="000000"/>
              <w:bottom w:val="single" w:sz="8" w:space="0" w:color="000000"/>
              <w:right w:val="single" w:sz="8" w:space="0" w:color="000000"/>
            </w:tcBorders>
            <w:shd w:val="clear" w:color="auto" w:fill="FFFFFF"/>
            <w:tcMar>
              <w:left w:w="70" w:type="dxa"/>
              <w:right w:w="70" w:type="dxa"/>
            </w:tcMar>
          </w:tcPr>
          <w:p w14:paraId="0E1C804C" w14:textId="77777777" w:rsidR="00E83E7D" w:rsidRDefault="00000000">
            <w:pPr>
              <w:jc w:val="center"/>
            </w:pPr>
            <w:r>
              <w:rPr>
                <w:rFonts w:ascii="Times New Roman" w:eastAsia="Times New Roman" w:hAnsi="Times New Roman" w:cs="Times New Roman"/>
                <w:b/>
                <w:sz w:val="16"/>
              </w:rPr>
              <w:t>100.0</w:t>
            </w:r>
          </w:p>
        </w:tc>
        <w:tc>
          <w:tcPr>
            <w:tcW w:w="708" w:type="dxa"/>
            <w:tcBorders>
              <w:top w:val="single" w:sz="2" w:space="0" w:color="000000"/>
              <w:left w:val="single" w:sz="4" w:space="0" w:color="000000"/>
              <w:bottom w:val="single" w:sz="8" w:space="0" w:color="000000"/>
              <w:right w:val="single" w:sz="8" w:space="0" w:color="000000"/>
            </w:tcBorders>
            <w:shd w:val="clear" w:color="auto" w:fill="FFFFFF"/>
            <w:tcMar>
              <w:left w:w="70" w:type="dxa"/>
              <w:right w:w="70" w:type="dxa"/>
            </w:tcMar>
          </w:tcPr>
          <w:p w14:paraId="7672A432" w14:textId="77777777" w:rsidR="00E83E7D" w:rsidRDefault="00000000">
            <w:pPr>
              <w:ind w:firstLine="9"/>
              <w:jc w:val="center"/>
            </w:pPr>
            <w:r>
              <w:rPr>
                <w:rFonts w:ascii="Times New Roman" w:eastAsia="Times New Roman" w:hAnsi="Times New Roman" w:cs="Times New Roman"/>
                <w:b/>
                <w:sz w:val="16"/>
              </w:rPr>
              <w:t>100.0</w:t>
            </w:r>
          </w:p>
        </w:tc>
      </w:tr>
    </w:tbl>
    <w:p w14:paraId="78E4CE16" w14:textId="77777777" w:rsidR="00E83E7D" w:rsidRDefault="00000000">
      <w:pPr>
        <w:ind w:firstLine="284"/>
        <w:jc w:val="center"/>
      </w:pPr>
      <w:r>
        <w:rPr>
          <w:rFonts w:ascii="Times New Roman" w:eastAsia="Times New Roman" w:hAnsi="Times New Roman" w:cs="Times New Roman"/>
          <w:sz w:val="16"/>
        </w:rPr>
        <w:t>Source: Popović, 2015, p. 22-23; Gundogan, 2022, p. 73; Ankete o radnoj snazi 2010 i 2019, i Popisa stanovništva Srbije 2021. godine.</w:t>
      </w:r>
    </w:p>
    <w:p w14:paraId="7CC31262" w14:textId="77777777" w:rsidR="00E83E7D" w:rsidRDefault="00000000">
      <w:pPr>
        <w:ind w:firstLine="284"/>
        <w:jc w:val="both"/>
      </w:pPr>
      <w:r>
        <w:rPr>
          <w:rFonts w:ascii="Times New Roman" w:eastAsia="Times New Roman" w:hAnsi="Times New Roman" w:cs="Times New Roman"/>
          <w:sz w:val="20"/>
        </w:rPr>
        <w:lastRenderedPageBreak/>
        <w:t>The largest number of working men and women have completed high school. Among the students, there are also the most who state that their parents graduated from high school (52% of students claim this for their father, and 55% of students for their mother, in 2010). In 2019, there are slightly more students with parents who completed high school (about 59%) than there are people with a high school diploma in the general population (about 53%). Disproportions in relation to the working population appear among students whose parents completed more or less than high school. Compared to 26% of working men with primary education, only 4.2% of students state that their father has less than a high school education. The situation is similar for working women and mothers of students. Among working women, 32.5% have less than a high school education, and students report that their mothers have less than a high school education in only 6.5% of cases. Nine years later, about 24% of the population of Serbia (15 years and older) has less than high school, while this percentage is 4.5% among students' fathers, and 5.5% - among students' mothers. That this group is underrepresented in the student population is also shown by data from earlier research (Savić, Živadinović, 2016, p. 32). On the other hand, in 2010, compared to 13.3% of older and highly educated men among the working population, there are 38.2% of students who state that their parents graduated from college or university. When it comes to the female part of the working population and mothers of students, the ratio is 15.9% of more and highly educated women in the working population versus 33% of students who state that their mother has a higher or higher education. According to data from the 2019 Labor Force Survey (2020, p. 26), 32% of students have highly educated parents, while the percentage of highly educated people in the general population (15 years and older) is about 22%.</w:t>
      </w:r>
    </w:p>
    <w:p w14:paraId="62A5251F" w14:textId="77777777" w:rsidR="00E83E7D" w:rsidRDefault="00000000">
      <w:pPr>
        <w:ind w:firstLine="284"/>
        <w:jc w:val="both"/>
      </w:pPr>
      <w:r>
        <w:rPr>
          <w:rFonts w:ascii="Times New Roman" w:eastAsia="Times New Roman" w:hAnsi="Times New Roman" w:cs="Times New Roman"/>
          <w:sz w:val="20"/>
        </w:rPr>
        <w:t>Therefore, the social structure of the student population does not reflect the social structure of society: the representation of those whose parents are highly educated is much higher in the student population than in society in general. On the other hand, students from families of lower social status (observed on the basis of parents' education and occupation) have a difficult access to higher education.</w:t>
      </w:r>
    </w:p>
    <w:p w14:paraId="748E0946" w14:textId="77777777" w:rsidR="00E83E7D" w:rsidRDefault="00E83E7D">
      <w:pPr>
        <w:ind w:firstLine="284"/>
        <w:jc w:val="both"/>
      </w:pPr>
    </w:p>
    <w:p w14:paraId="0806BBAB" w14:textId="77777777" w:rsidR="00E83E7D" w:rsidRDefault="00000000">
      <w:pPr>
        <w:ind w:firstLine="284"/>
        <w:jc w:val="both"/>
      </w:pPr>
      <w:r>
        <w:rPr>
          <w:rFonts w:ascii="Times New Roman" w:eastAsia="Times New Roman" w:hAnsi="Times New Roman" w:cs="Times New Roman"/>
          <w:i/>
          <w:sz w:val="20"/>
        </w:rPr>
        <w:t>Students with disabilities</w:t>
      </w:r>
    </w:p>
    <w:p w14:paraId="055A3EB4" w14:textId="77777777" w:rsidR="00E83E7D" w:rsidRDefault="00E83E7D">
      <w:pPr>
        <w:ind w:firstLine="284"/>
        <w:jc w:val="both"/>
      </w:pPr>
    </w:p>
    <w:p w14:paraId="72243FFA" w14:textId="77777777" w:rsidR="00E83E7D" w:rsidRDefault="00000000">
      <w:pPr>
        <w:ind w:firstLine="284"/>
        <w:jc w:val="both"/>
      </w:pPr>
      <w:r>
        <w:rPr>
          <w:rFonts w:ascii="Times New Roman" w:eastAsia="Times New Roman" w:hAnsi="Times New Roman" w:cs="Times New Roman"/>
          <w:sz w:val="20"/>
        </w:rPr>
        <w:t>There is not enough data to assess trends in higher education coverage of persons with disabilities. The number of persons with disabilities who are reported to have completed seventh-level university education is 18,048. This means that a total of 3.2% of persons with disabilities are university educated, as well as that persons with disabilities make up 2.8% of the total population with a university degree in the Republic of Serbia (Marković, 2014, p. 65, according to: Nikolajević, Mirić, 2019 , pp. 231-255). Some of the factors that make access to higher education difficult for people with disabilities in Serbia are the inaccessibility of buildings and rooms in higher education institutions, as well as teaching materials. The lack of reliable data on the number of students with disabilities studying at universities in Serbia makes it difficult to create effective measures to improve the position of students with disabilities.</w:t>
      </w:r>
    </w:p>
    <w:p w14:paraId="73B749AF" w14:textId="77777777" w:rsidR="00E83E7D" w:rsidRDefault="00E83E7D">
      <w:pPr>
        <w:ind w:firstLine="284"/>
        <w:jc w:val="both"/>
      </w:pPr>
    </w:p>
    <w:p w14:paraId="5992C61E" w14:textId="77777777" w:rsidR="00E83E7D" w:rsidRDefault="00000000">
      <w:pPr>
        <w:ind w:firstLine="284"/>
        <w:jc w:val="both"/>
      </w:pPr>
      <w:r>
        <w:rPr>
          <w:rFonts w:ascii="Times New Roman" w:eastAsia="Times New Roman" w:hAnsi="Times New Roman" w:cs="Times New Roman"/>
          <w:i/>
          <w:sz w:val="20"/>
        </w:rPr>
        <w:t>Students of Roma nationality</w:t>
      </w:r>
    </w:p>
    <w:p w14:paraId="6EC75D5D" w14:textId="77777777" w:rsidR="00E83E7D" w:rsidRDefault="00E83E7D">
      <w:pPr>
        <w:ind w:firstLine="284"/>
        <w:jc w:val="both"/>
      </w:pPr>
    </w:p>
    <w:p w14:paraId="7155AB46" w14:textId="77777777" w:rsidR="00E83E7D" w:rsidRDefault="00000000">
      <w:pPr>
        <w:ind w:firstLine="284"/>
        <w:jc w:val="both"/>
      </w:pPr>
      <w:r>
        <w:rPr>
          <w:rFonts w:ascii="Times New Roman" w:eastAsia="Times New Roman" w:hAnsi="Times New Roman" w:cs="Times New Roman"/>
          <w:sz w:val="20"/>
        </w:rPr>
        <w:t xml:space="preserve">Roma represent the most uneducated segment of the Serbian population. Among the </w:t>
      </w:r>
      <w:r>
        <w:rPr>
          <w:rFonts w:ascii="Times New Roman" w:eastAsia="Times New Roman" w:hAnsi="Times New Roman" w:cs="Times New Roman"/>
          <w:sz w:val="20"/>
        </w:rPr>
        <w:lastRenderedPageBreak/>
        <w:t>students, there are less than one per thousand. The number of students of Roma nationality at the beginning of the 2000s was 0.03% and in the following five years it increased to 0.06% (see: Inclusive education: Path of development, 2008, p. 48). The largest part of students of Roma nationality (50%) studies in Vojvodina. As in the entire student population and in the population of Roma students, there are more female students (53.9%). The failure to prepare Roma children for higher education begins already in elementary school.</w:t>
      </w:r>
    </w:p>
    <w:p w14:paraId="7E988B3F" w14:textId="77777777" w:rsidR="00E83E7D" w:rsidRDefault="00000000">
      <w:pPr>
        <w:ind w:firstLine="284"/>
        <w:jc w:val="both"/>
      </w:pPr>
      <w:r>
        <w:rPr>
          <w:rFonts w:ascii="Times New Roman" w:eastAsia="Times New Roman" w:hAnsi="Times New Roman" w:cs="Times New Roman"/>
          <w:sz w:val="20"/>
        </w:rPr>
        <w:t>According to the data from the Survey of Multiple Indicators of the Position of Women and Children in Serbia (MICS5), 31% of children from Roma settlements do not enroll in primary school on time, and one third of children from the poorest households and from Roma settlements do not finish it on time. The percentage of enrollment in primary school was 97%, but for children from Roma settlements it was 69.1%. The net rate of primary school attendance was 98.5% (Roma 84.9%). The primary school completion rate was 93.4% (Roma 64%). Children from Roma settlements (22%) and the poorest children (74%) attend secondary school significantly less often compared to the national average (89%) (Klašnja, 2020, p. 14).</w:t>
      </w:r>
    </w:p>
    <w:p w14:paraId="3D22E29A" w14:textId="77777777" w:rsidR="00E83E7D" w:rsidRDefault="00000000">
      <w:pPr>
        <w:ind w:firstLine="284"/>
        <w:jc w:val="both"/>
      </w:pPr>
      <w:r>
        <w:rPr>
          <w:rFonts w:ascii="Times New Roman" w:eastAsia="Times New Roman" w:hAnsi="Times New Roman" w:cs="Times New Roman"/>
          <w:sz w:val="20"/>
        </w:rPr>
        <w:t xml:space="preserve">Higher education reformers are faced with the question of </w:t>
      </w:r>
      <w:r>
        <w:rPr>
          <w:rFonts w:ascii="Times New Roman" w:eastAsia="Times New Roman" w:hAnsi="Times New Roman" w:cs="Times New Roman"/>
          <w:i/>
          <w:sz w:val="20"/>
        </w:rPr>
        <w:t>what higher education institutions can do for greater openness towards all persons who make up our society - regardless of their origin, gender, race and nationality, socio-economic status and other attributes that define us socially</w:t>
      </w:r>
      <w:r>
        <w:rPr>
          <w:rFonts w:ascii="Times New Roman" w:eastAsia="Times New Roman" w:hAnsi="Times New Roman" w:cs="Times New Roman"/>
          <w:sz w:val="20"/>
        </w:rPr>
        <w:t>.</w:t>
      </w:r>
    </w:p>
    <w:p w14:paraId="7E5C0B61" w14:textId="77777777" w:rsidR="00E83E7D" w:rsidRDefault="00000000">
      <w:pPr>
        <w:ind w:firstLine="284"/>
        <w:jc w:val="both"/>
      </w:pPr>
      <w:r>
        <w:rPr>
          <w:rFonts w:ascii="Times New Roman" w:eastAsia="Times New Roman" w:hAnsi="Times New Roman" w:cs="Times New Roman"/>
          <w:sz w:val="20"/>
        </w:rPr>
        <w:t xml:space="preserve">Systemic measures to support higher education in Serbia include: financing of higher education from the national budget; subsidizing living expenses through accommodation in student dormitories and meals in student restaurants and financial support for students through student scholarships and loans (Popović, 2015). The largest part of allocations for higher education goes to cover the </w:t>
      </w:r>
      <w:r>
        <w:rPr>
          <w:rFonts w:ascii="Times New Roman" w:eastAsia="Times New Roman" w:hAnsi="Times New Roman" w:cs="Times New Roman"/>
          <w:i/>
          <w:sz w:val="20"/>
        </w:rPr>
        <w:t>costs of education</w:t>
      </w:r>
      <w:r>
        <w:rPr>
          <w:rFonts w:ascii="Times New Roman" w:eastAsia="Times New Roman" w:hAnsi="Times New Roman" w:cs="Times New Roman"/>
          <w:sz w:val="20"/>
        </w:rPr>
        <w:t xml:space="preserve">. The participation of the state in </w:t>
      </w:r>
      <w:r>
        <w:rPr>
          <w:rFonts w:ascii="Times New Roman" w:eastAsia="Times New Roman" w:hAnsi="Times New Roman" w:cs="Times New Roman"/>
          <w:i/>
          <w:sz w:val="20"/>
        </w:rPr>
        <w:t>covering students' living</w:t>
      </w:r>
      <w:r>
        <w:rPr>
          <w:rFonts w:ascii="Times New Roman" w:eastAsia="Times New Roman" w:hAnsi="Times New Roman" w:cs="Times New Roman"/>
          <w:sz w:val="20"/>
        </w:rPr>
        <w:t xml:space="preserve"> expenses is much smaller (through subsidizing student centers and awarded scholarships and loans) (Popović, 2015, Tempus project EQUIED). Almost all means of public financing of higher education are intended for students of </w:t>
      </w:r>
      <w:r>
        <w:rPr>
          <w:rFonts w:ascii="Times New Roman" w:eastAsia="Times New Roman" w:hAnsi="Times New Roman" w:cs="Times New Roman"/>
          <w:i/>
          <w:sz w:val="20"/>
        </w:rPr>
        <w:t>state universities</w:t>
      </w:r>
      <w:r>
        <w:rPr>
          <w:rFonts w:ascii="Times New Roman" w:eastAsia="Times New Roman" w:hAnsi="Times New Roman" w:cs="Times New Roman"/>
          <w:sz w:val="20"/>
        </w:rPr>
        <w:t xml:space="preserve"> and their distribution is primarily determined by success (criterion of excellence, that is, meritocratic, not social criterion). A very small part of the public financing of higher education is intended for the improvement of the social dimension of higher education (10% of places in the dormitory and 10% of scholarships and loans). These investments from public funds have an impact on the improvement of the social dimension to the extent that members of "sensitive" groups are gradually included through greater overall coverage, but very little is being done to reduce the disparity in participation.</w:t>
      </w:r>
    </w:p>
    <w:p w14:paraId="2C2D757C" w14:textId="77777777" w:rsidR="00E83E7D" w:rsidRDefault="00000000">
      <w:pPr>
        <w:ind w:firstLine="284"/>
        <w:jc w:val="both"/>
      </w:pPr>
      <w:r>
        <w:rPr>
          <w:rFonts w:ascii="Times New Roman" w:eastAsia="Times New Roman" w:hAnsi="Times New Roman" w:cs="Times New Roman"/>
          <w:sz w:val="20"/>
        </w:rPr>
        <w:t xml:space="preserve">As part of the Tempus project EQUIED - "Equal access for all: Strengthening the social dimension in order to strengthen the European area of higher education", a proposal of measures that should be taken in order to provide access to higher education to different groups of the population was prepared. Certainly no less important is the activity of the </w:t>
      </w:r>
      <w:r>
        <w:rPr>
          <w:rFonts w:ascii="Times New Roman" w:eastAsia="Times New Roman" w:hAnsi="Times New Roman" w:cs="Times New Roman"/>
          <w:i/>
          <w:sz w:val="20"/>
        </w:rPr>
        <w:t>Center for Educational Policies</w:t>
      </w:r>
      <w:r>
        <w:rPr>
          <w:rFonts w:ascii="Times New Roman" w:eastAsia="Times New Roman" w:hAnsi="Times New Roman" w:cs="Times New Roman"/>
          <w:sz w:val="20"/>
        </w:rPr>
        <w:t xml:space="preserve"> (COP), as an independent multidisciplinary research center that provides professional support to decision makers and practitioners in the development, implementation and evaluation of policies in the field of education.</w:t>
      </w:r>
    </w:p>
    <w:p w14:paraId="6700E997" w14:textId="77777777" w:rsidR="00E83E7D" w:rsidRDefault="00000000">
      <w:pPr>
        <w:spacing w:before="480" w:after="120"/>
        <w:jc w:val="center"/>
      </w:pPr>
      <w:r>
        <w:rPr>
          <w:rFonts w:ascii="Times New Roman" w:eastAsia="Times New Roman" w:hAnsi="Times New Roman" w:cs="Times New Roman"/>
          <w:smallCaps/>
          <w:sz w:val="20"/>
        </w:rPr>
        <w:t>4. CULTURAL-VALUE DIVERSITY OF THE STUDENT POPULATION</w:t>
      </w:r>
    </w:p>
    <w:p w14:paraId="290E3400" w14:textId="77777777" w:rsidR="00E83E7D" w:rsidRDefault="00000000">
      <w:pPr>
        <w:ind w:firstLine="284"/>
        <w:jc w:val="both"/>
      </w:pPr>
      <w:r>
        <w:rPr>
          <w:rFonts w:ascii="Times New Roman" w:eastAsia="Times New Roman" w:hAnsi="Times New Roman" w:cs="Times New Roman"/>
          <w:sz w:val="20"/>
        </w:rPr>
        <w:t xml:space="preserve">Students are the most educated part of the young generation, who are expected to </w:t>
      </w:r>
      <w:r>
        <w:rPr>
          <w:rFonts w:ascii="Times New Roman" w:eastAsia="Times New Roman" w:hAnsi="Times New Roman" w:cs="Times New Roman"/>
          <w:sz w:val="20"/>
        </w:rPr>
        <w:lastRenderedPageBreak/>
        <w:t>advocate certain values of modern society as future leaders. This is particularly important if we consider that education is an instrument for the development of human capital, not only as future employees, but also as future citizens of a society. Namely, the university must assume a role for the development of society as a whole, as well as for the education of an academic citizen who is capable of a critical attitude towards the world.</w:t>
      </w:r>
    </w:p>
    <w:p w14:paraId="20EDBE4A" w14:textId="77777777" w:rsidR="00E83E7D" w:rsidRDefault="00000000">
      <w:pPr>
        <w:ind w:firstLine="284"/>
        <w:jc w:val="both"/>
      </w:pPr>
      <w:r>
        <w:rPr>
          <w:rFonts w:ascii="Times New Roman" w:eastAsia="Times New Roman" w:hAnsi="Times New Roman" w:cs="Times New Roman"/>
          <w:sz w:val="20"/>
        </w:rPr>
        <w:t xml:space="preserve">If those from the middle class and those who live in larger areas enter the faculty (see web portal </w:t>
      </w:r>
      <w:r>
        <w:rPr>
          <w:rFonts w:ascii="Symbol" w:eastAsia="Symbol" w:hAnsi="Symbol" w:cs="Symbol"/>
          <w:sz w:val="20"/>
        </w:rPr>
        <w:t></w:t>
      </w:r>
      <w:r>
        <w:rPr>
          <w:rFonts w:ascii="Times New Roman" w:eastAsia="Times New Roman" w:hAnsi="Times New Roman" w:cs="Times New Roman"/>
          <w:sz w:val="20"/>
        </w:rPr>
        <w:t>1</w:t>
      </w:r>
      <w:r>
        <w:rPr>
          <w:rFonts w:ascii="Symbol" w:eastAsia="Symbol" w:hAnsi="Symbol" w:cs="Symbol"/>
          <w:sz w:val="20"/>
        </w:rPr>
        <w:t></w:t>
      </w:r>
      <w:r>
        <w:rPr>
          <w:rFonts w:ascii="Times New Roman" w:eastAsia="Times New Roman" w:hAnsi="Times New Roman" w:cs="Times New Roman"/>
          <w:sz w:val="20"/>
        </w:rPr>
        <w:t>), then the values of these social strata prevail at the universities. However, with the tendency of "massification of education", we are simultaneously facing an increase in the socioeconomic and cultural value diversity of the student population. Namely, if the tendency of the development of higher education is to be more and more massive and to open access to various categories of the young generation, it may happen that this leads to heterogeneity of their value orientations, depending on where they come from.</w:t>
      </w:r>
    </w:p>
    <w:p w14:paraId="5BA9F200" w14:textId="77777777" w:rsidR="00E83E7D" w:rsidRDefault="00000000">
      <w:pPr>
        <w:ind w:firstLine="284"/>
        <w:jc w:val="both"/>
      </w:pPr>
      <w:r>
        <w:rPr>
          <w:rFonts w:ascii="Times New Roman" w:eastAsia="Times New Roman" w:hAnsi="Times New Roman" w:cs="Times New Roman"/>
          <w:sz w:val="20"/>
        </w:rPr>
        <w:t>What characterizes the student population, and which at the same time applies to all young people, is their belonging to a heterogeneous social group, which, on the one hand, is marked by internal social stratification (linked to the differentiation of the society to which they belong), and, on the other hand, by the possession of some common characteristics by which they are recognized as a separate social group. In other words, in addition to generational specificity, which marks students, and young people in general, as recognizable social groups, there are also intragenerational differences (related to their different degrees of individual and social maturity, as well as to social origins, types of socialization, subcultural features). In this context, we cannot talk about certain values of the student population, as opposed to some who are not students, or as opposed to some who are adults, etc. Within the student population itself, we will now have a mirroring of diverse values accepted by different parts of society. The more diverse the student population is, the less useful is the information that someone is a student, if we want to predict how they will behave, whether and how they will vote, what values they will accept, for the simple reason that it can be expected that through, and in the student population, also reflect the general diversity of value orientations of the population as a whole.</w:t>
      </w:r>
    </w:p>
    <w:p w14:paraId="21B5D107" w14:textId="77777777" w:rsidR="00E83E7D" w:rsidRDefault="00000000">
      <w:pPr>
        <w:ind w:firstLine="284"/>
        <w:jc w:val="both"/>
      </w:pPr>
      <w:r>
        <w:rPr>
          <w:rFonts w:ascii="Times New Roman" w:eastAsia="Times New Roman" w:hAnsi="Times New Roman" w:cs="Times New Roman"/>
          <w:sz w:val="20"/>
        </w:rPr>
        <w:t xml:space="preserve">If we accept the argument that the functioning of modern society (and the society of the near future) requires a large number of highly educated people, and if we accept the requirement that massification should simultaneously guarantee the diversity of the student population, so that it reflects the structure of the population as a whole, then public policies in the area of higher education should search for the form and content of higher education that </w:t>
      </w:r>
      <w:r>
        <w:rPr>
          <w:rFonts w:ascii="Times New Roman" w:eastAsia="Times New Roman" w:hAnsi="Times New Roman" w:cs="Times New Roman"/>
          <w:i/>
          <w:sz w:val="20"/>
        </w:rPr>
        <w:t>educates a large number of people in a better way, with different prior knowledge, cognitive capacities and value orientations</w:t>
      </w:r>
      <w:r>
        <w:rPr>
          <w:rFonts w:ascii="Times New Roman" w:eastAsia="Times New Roman" w:hAnsi="Times New Roman" w:cs="Times New Roman"/>
          <w:sz w:val="20"/>
        </w:rPr>
        <w:t>. If up to 55% of the generation enrolls in studies (according to the Strategy of Higher Education in Serbia until 2020), then we have to count on the fact that a part of those students have overcome the high school program with difficulties, and are not completely ready to accept studies as a search for knowledge, independently solves various problems and explains and defends its own approach and its own solution.</w:t>
      </w:r>
    </w:p>
    <w:p w14:paraId="5720CA04" w14:textId="77777777" w:rsidR="00E83E7D" w:rsidRDefault="00000000">
      <w:pPr>
        <w:ind w:firstLine="284"/>
        <w:jc w:val="both"/>
      </w:pPr>
      <w:r>
        <w:rPr>
          <w:rFonts w:ascii="Times New Roman" w:eastAsia="Times New Roman" w:hAnsi="Times New Roman" w:cs="Times New Roman"/>
          <w:sz w:val="20"/>
        </w:rPr>
        <w:t>"</w:t>
      </w:r>
      <w:r>
        <w:rPr>
          <w:rFonts w:ascii="Times New Roman" w:eastAsia="Times New Roman" w:hAnsi="Times New Roman" w:cs="Times New Roman"/>
          <w:i/>
          <w:sz w:val="20"/>
        </w:rPr>
        <w:t>The problem that a modern university must solve is how to determine and maintain a high level and high quality of teaching, while at the same time a student of average (or even below average) abilities can master that level</w:t>
      </w:r>
      <w:r>
        <w:rPr>
          <w:rFonts w:ascii="Times New Roman" w:eastAsia="Times New Roman" w:hAnsi="Times New Roman" w:cs="Times New Roman"/>
          <w:sz w:val="20"/>
        </w:rPr>
        <w:t xml:space="preserve">" (Popović, Đorić, 2011, p. 301-325) . This actualizes the issue of </w:t>
      </w:r>
      <w:r>
        <w:rPr>
          <w:rFonts w:ascii="Times New Roman" w:eastAsia="Times New Roman" w:hAnsi="Times New Roman" w:cs="Times New Roman"/>
          <w:i/>
          <w:sz w:val="20"/>
        </w:rPr>
        <w:t>teaching methodology in higher education</w:t>
      </w:r>
      <w:r>
        <w:rPr>
          <w:rFonts w:ascii="Times New Roman" w:eastAsia="Times New Roman" w:hAnsi="Times New Roman" w:cs="Times New Roman"/>
          <w:sz w:val="20"/>
        </w:rPr>
        <w:t>, which is already open at lower levels of education, i.e. the individualization of teaching adapted to students with different prior knowledge, preferences and capacities.</w:t>
      </w:r>
    </w:p>
    <w:p w14:paraId="1FF2D871" w14:textId="77777777" w:rsidR="00E83E7D" w:rsidRDefault="00000000">
      <w:pPr>
        <w:spacing w:before="480" w:after="120"/>
        <w:jc w:val="center"/>
      </w:pPr>
      <w:r>
        <w:rPr>
          <w:rFonts w:ascii="Times New Roman" w:eastAsia="Times New Roman" w:hAnsi="Times New Roman" w:cs="Times New Roman"/>
          <w:smallCaps/>
          <w:sz w:val="20"/>
        </w:rPr>
        <w:lastRenderedPageBreak/>
        <w:t>5. QUALITY CONTROL OF HIGHER EDUCATION</w:t>
      </w:r>
    </w:p>
    <w:p w14:paraId="42662A7D" w14:textId="77777777" w:rsidR="00E83E7D" w:rsidRDefault="00000000">
      <w:pPr>
        <w:ind w:firstLine="284"/>
        <w:jc w:val="both"/>
      </w:pPr>
      <w:r>
        <w:rPr>
          <w:rFonts w:ascii="Times New Roman" w:eastAsia="Times New Roman" w:hAnsi="Times New Roman" w:cs="Times New Roman"/>
          <w:sz w:val="20"/>
        </w:rPr>
        <w:t>"Historically, the concept of quality control and the quality control movement is associated with serial production in which the characteristics of each individual product must correspond to a predefined quality standard. To the extent that higher education has become "serial production", such that students educated at university, they often continue their education at another university or are employed in another country, standardization of quality, i.e. quality assurance and control of higher education is becoming an increasingly important topic and movement" (Popović, Đorić, 2011, p. 320).</w:t>
      </w:r>
    </w:p>
    <w:p w14:paraId="6478C32B" w14:textId="77777777" w:rsidR="00E83E7D" w:rsidRDefault="00000000">
      <w:pPr>
        <w:ind w:firstLine="284"/>
        <w:jc w:val="both"/>
      </w:pPr>
      <w:r>
        <w:rPr>
          <w:rFonts w:ascii="Times New Roman" w:eastAsia="Times New Roman" w:hAnsi="Times New Roman" w:cs="Times New Roman"/>
          <w:sz w:val="20"/>
        </w:rPr>
        <w:t xml:space="preserve">The point of view that we represent and promote in this text is that mechanisms for ensuring and controlling the quality of higher education (in the context of mass higher education and oriented towards the needs of the professional labor market) should first of all enable the assessment of the quality of </w:t>
      </w:r>
      <w:r>
        <w:rPr>
          <w:rFonts w:ascii="Times New Roman" w:eastAsia="Times New Roman" w:hAnsi="Times New Roman" w:cs="Times New Roman"/>
          <w:i/>
          <w:sz w:val="20"/>
        </w:rPr>
        <w:t>learning outcomes - clear descriptions of what a student should know , understands and knows how to do after completing studies</w:t>
      </w:r>
      <w:r>
        <w:rPr>
          <w:rFonts w:ascii="Times New Roman" w:eastAsia="Times New Roman" w:hAnsi="Times New Roman" w:cs="Times New Roman"/>
          <w:sz w:val="20"/>
        </w:rPr>
        <w:t>.</w:t>
      </w:r>
    </w:p>
    <w:p w14:paraId="07E42696" w14:textId="77777777" w:rsidR="00E83E7D" w:rsidRDefault="00000000">
      <w:pPr>
        <w:ind w:firstLine="284"/>
        <w:jc w:val="both"/>
      </w:pPr>
      <w:r>
        <w:rPr>
          <w:rFonts w:ascii="Times New Roman" w:eastAsia="Times New Roman" w:hAnsi="Times New Roman" w:cs="Times New Roman"/>
          <w:sz w:val="20"/>
        </w:rPr>
        <w:t xml:space="preserve">The product of the educational process is the knowledge and skills of each individual student acquired during this process (qualification). Clearly, transparently and precisely defined learning outcomes are specifications of standard product features of the educational process. </w:t>
      </w:r>
      <w:r>
        <w:rPr>
          <w:rFonts w:ascii="Times New Roman" w:eastAsia="Times New Roman" w:hAnsi="Times New Roman" w:cs="Times New Roman"/>
          <w:i/>
          <w:sz w:val="20"/>
        </w:rPr>
        <w:t>Quality control is then an assessment of the extent to which the characteristics of the students' demonstrated knowledge and skills correspond to the set quality standards</w:t>
      </w:r>
      <w:r>
        <w:rPr>
          <w:rFonts w:ascii="Times New Roman" w:eastAsia="Times New Roman" w:hAnsi="Times New Roman" w:cs="Times New Roman"/>
          <w:sz w:val="20"/>
        </w:rPr>
        <w:t>.</w:t>
      </w:r>
    </w:p>
    <w:p w14:paraId="56A8F36D" w14:textId="77777777" w:rsidR="00E83E7D" w:rsidRDefault="00000000">
      <w:pPr>
        <w:ind w:firstLine="284"/>
        <w:jc w:val="both"/>
      </w:pPr>
      <w:r>
        <w:rPr>
          <w:rFonts w:ascii="Times New Roman" w:eastAsia="Times New Roman" w:hAnsi="Times New Roman" w:cs="Times New Roman"/>
          <w:sz w:val="20"/>
        </w:rPr>
        <w:t>If we have correctly posed the problem to which the reform of higher education is aimed - the organization of mass higher education and the second-order problems arising from it, then a possible criterion for evaluating the proposed solutions would be - to what extent the proposed reform/s enables the education of a large number of highly educated experts whose qualifications (learning outcomes) best match mass demand in a developed, free and open professional labor market.</w:t>
      </w:r>
    </w:p>
    <w:p w14:paraId="2A8F7983" w14:textId="77777777" w:rsidR="00E83E7D" w:rsidRDefault="00000000">
      <w:pPr>
        <w:ind w:firstLine="284"/>
        <w:jc w:val="both"/>
      </w:pPr>
      <w:r>
        <w:rPr>
          <w:rFonts w:ascii="Times New Roman" w:eastAsia="Times New Roman" w:hAnsi="Times New Roman" w:cs="Times New Roman"/>
          <w:sz w:val="20"/>
        </w:rPr>
        <w:t xml:space="preserve">This way of formulating the evaluation criteria of public policies in the field of higher education actualizes the problem of simultaneous reform of the professional labor market. Our position is that without a </w:t>
      </w:r>
      <w:r>
        <w:rPr>
          <w:rFonts w:ascii="Times New Roman" w:eastAsia="Times New Roman" w:hAnsi="Times New Roman" w:cs="Times New Roman"/>
          <w:i/>
          <w:sz w:val="20"/>
        </w:rPr>
        <w:t>mass demand</w:t>
      </w:r>
      <w:r>
        <w:rPr>
          <w:rFonts w:ascii="Times New Roman" w:eastAsia="Times New Roman" w:hAnsi="Times New Roman" w:cs="Times New Roman"/>
          <w:sz w:val="20"/>
        </w:rPr>
        <w:t xml:space="preserve"> for highly educated experts in </w:t>
      </w:r>
      <w:r>
        <w:rPr>
          <w:rFonts w:ascii="Times New Roman" w:eastAsia="Times New Roman" w:hAnsi="Times New Roman" w:cs="Times New Roman"/>
          <w:i/>
          <w:sz w:val="20"/>
        </w:rPr>
        <w:t>a free and open</w:t>
      </w:r>
      <w:r>
        <w:rPr>
          <w:rFonts w:ascii="Times New Roman" w:eastAsia="Times New Roman" w:hAnsi="Times New Roman" w:cs="Times New Roman"/>
          <w:sz w:val="20"/>
        </w:rPr>
        <w:t xml:space="preserve"> professional labor market, no public policy in the field of higher education can be meaningfully </w:t>
      </w:r>
      <w:r>
        <w:rPr>
          <w:rFonts w:ascii="Times New Roman" w:eastAsia="Times New Roman" w:hAnsi="Times New Roman" w:cs="Times New Roman"/>
          <w:i/>
          <w:sz w:val="20"/>
        </w:rPr>
        <w:t>evaluated</w:t>
      </w:r>
      <w:r>
        <w:rPr>
          <w:rFonts w:ascii="Times New Roman" w:eastAsia="Times New Roman" w:hAnsi="Times New Roman" w:cs="Times New Roman"/>
          <w:sz w:val="20"/>
        </w:rPr>
        <w:t>. The assumptions of a successful evaluation of public policies in this area are: 1) Accelerated individual transitions from education to work; the dominant channels used for these transitions should be related to quality - academic success. 2) Information about product quality - student learning outcomes, should be complete, clear and not cause confusion among "customers/users" - employers. 3) Success in studies should be a clear indicator of the quality of learning outcomes, and guarantee the efficient and high-quality performance of work that employers are looking for. 4) The principle of allocation to professional positions, and the legitimization of that allocation should be related to the efficient and high-quality performance of work. Only in such a context would it be possible to evaluate which public policies best respond to the formulated problems of organization and financing of higher education in Serbia.</w:t>
      </w:r>
    </w:p>
    <w:p w14:paraId="5D35530E" w14:textId="77777777" w:rsidR="00E83E7D" w:rsidRDefault="00000000">
      <w:pPr>
        <w:spacing w:before="480" w:after="120"/>
        <w:jc w:val="center"/>
      </w:pPr>
      <w:r>
        <w:rPr>
          <w:rFonts w:ascii="Times New Roman" w:eastAsia="Times New Roman" w:hAnsi="Times New Roman" w:cs="Times New Roman"/>
          <w:smallCaps/>
          <w:sz w:val="20"/>
        </w:rPr>
        <w:t>4. CONCLUDING CONSIDERATIONS</w:t>
      </w:r>
    </w:p>
    <w:p w14:paraId="61C03054" w14:textId="77777777" w:rsidR="00E83E7D" w:rsidRDefault="00000000">
      <w:pPr>
        <w:ind w:firstLine="284"/>
        <w:jc w:val="both"/>
      </w:pPr>
      <w:r>
        <w:rPr>
          <w:rFonts w:ascii="Times New Roman" w:eastAsia="Times New Roman" w:hAnsi="Times New Roman" w:cs="Times New Roman"/>
          <w:sz w:val="20"/>
        </w:rPr>
        <w:t>The intention of this text was to formulate some of the, in our opinion, the most important problems that the reforms of higher education in Serbia should deal with. On the trail of already existing studies and public debates on the subject, we have formulated the following problems:</w:t>
      </w:r>
    </w:p>
    <w:p w14:paraId="250AE41A" w14:textId="77777777" w:rsidR="00E83E7D" w:rsidRDefault="00000000">
      <w:pPr>
        <w:ind w:firstLine="284"/>
        <w:jc w:val="both"/>
      </w:pPr>
      <w:r>
        <w:rPr>
          <w:rFonts w:ascii="Times New Roman" w:eastAsia="Times New Roman" w:hAnsi="Times New Roman" w:cs="Times New Roman"/>
          <w:sz w:val="20"/>
        </w:rPr>
        <w:lastRenderedPageBreak/>
        <w:t xml:space="preserve">1. One of the main problems for which public policies in the field of higher education should find a solution is the organization (and financing) of </w:t>
      </w:r>
      <w:r>
        <w:rPr>
          <w:rFonts w:ascii="Times New Roman" w:eastAsia="Times New Roman" w:hAnsi="Times New Roman" w:cs="Times New Roman"/>
          <w:i/>
          <w:sz w:val="20"/>
        </w:rPr>
        <w:t xml:space="preserve">mass </w:t>
      </w:r>
      <w:r>
        <w:rPr>
          <w:rFonts w:ascii="Times New Roman" w:eastAsia="Times New Roman" w:hAnsi="Times New Roman" w:cs="Times New Roman"/>
          <w:sz w:val="20"/>
        </w:rPr>
        <w:t>higher education.</w:t>
      </w:r>
    </w:p>
    <w:p w14:paraId="2DDD8E44" w14:textId="77777777" w:rsidR="00E83E7D" w:rsidRDefault="00000000">
      <w:pPr>
        <w:ind w:firstLine="284"/>
        <w:jc w:val="both"/>
      </w:pPr>
      <w:r>
        <w:rPr>
          <w:rFonts w:ascii="Times New Roman" w:eastAsia="Times New Roman" w:hAnsi="Times New Roman" w:cs="Times New Roman"/>
          <w:sz w:val="20"/>
        </w:rPr>
        <w:t xml:space="preserve">2. The mass of higher education, at least declaratively, also means the expansion of the scope of higher education, so that it includes groups that, according to available data and research findings, are represented among students to a lesser extent than in the general population. Therefore, public policies must find an answer to the problem of </w:t>
      </w:r>
      <w:r>
        <w:rPr>
          <w:rFonts w:ascii="Times New Roman" w:eastAsia="Times New Roman" w:hAnsi="Times New Roman" w:cs="Times New Roman"/>
          <w:i/>
          <w:sz w:val="20"/>
        </w:rPr>
        <w:t>equal access to higher education for all</w:t>
      </w:r>
      <w:r>
        <w:rPr>
          <w:rFonts w:ascii="Times New Roman" w:eastAsia="Times New Roman" w:hAnsi="Times New Roman" w:cs="Times New Roman"/>
          <w:sz w:val="20"/>
        </w:rPr>
        <w:t>.</w:t>
      </w:r>
    </w:p>
    <w:p w14:paraId="27A791DC" w14:textId="77777777" w:rsidR="00E83E7D" w:rsidRDefault="00000000">
      <w:pPr>
        <w:ind w:firstLine="284"/>
        <w:jc w:val="both"/>
      </w:pPr>
      <w:r>
        <w:rPr>
          <w:rFonts w:ascii="Times New Roman" w:eastAsia="Times New Roman" w:hAnsi="Times New Roman" w:cs="Times New Roman"/>
          <w:sz w:val="20"/>
        </w:rPr>
        <w:t xml:space="preserve">3. Public policies aimed at reforming the financing of higher education, in addition to financing the costs of education, must also have on their agenda solutions for the </w:t>
      </w:r>
      <w:r>
        <w:rPr>
          <w:rFonts w:ascii="Times New Roman" w:eastAsia="Times New Roman" w:hAnsi="Times New Roman" w:cs="Times New Roman"/>
          <w:i/>
          <w:sz w:val="20"/>
        </w:rPr>
        <w:t>problem of financing the living costs of students</w:t>
      </w:r>
      <w:r>
        <w:rPr>
          <w:rFonts w:ascii="Times New Roman" w:eastAsia="Times New Roman" w:hAnsi="Times New Roman" w:cs="Times New Roman"/>
          <w:sz w:val="20"/>
        </w:rPr>
        <w:t xml:space="preserve">, if the coverage of the student population is to be extended to include persons with a lower socioeconomic status, and/or who do not they live in university centers. At the same time, financial support for living expenses must be guided by a </w:t>
      </w:r>
      <w:r>
        <w:rPr>
          <w:rFonts w:ascii="Times New Roman" w:eastAsia="Times New Roman" w:hAnsi="Times New Roman" w:cs="Times New Roman"/>
          <w:i/>
          <w:sz w:val="20"/>
        </w:rPr>
        <w:t>social criterion</w:t>
      </w:r>
      <w:r>
        <w:rPr>
          <w:rFonts w:ascii="Times New Roman" w:eastAsia="Times New Roman" w:hAnsi="Times New Roman" w:cs="Times New Roman"/>
          <w:sz w:val="20"/>
        </w:rPr>
        <w:t>, and not by a meritocratic criterion of excellence, as is the case now.</w:t>
      </w:r>
    </w:p>
    <w:p w14:paraId="62935F84" w14:textId="77777777" w:rsidR="00E83E7D" w:rsidRDefault="00000000">
      <w:pPr>
        <w:ind w:firstLine="284"/>
        <w:jc w:val="both"/>
      </w:pPr>
      <w:r>
        <w:rPr>
          <w:rFonts w:ascii="Times New Roman" w:eastAsia="Times New Roman" w:hAnsi="Times New Roman" w:cs="Times New Roman"/>
          <w:sz w:val="20"/>
        </w:rPr>
        <w:t xml:space="preserve">4. In the context of mass education, the modern university must solve the problem of determining and maintaining the </w:t>
      </w:r>
      <w:r>
        <w:rPr>
          <w:rFonts w:ascii="Times New Roman" w:eastAsia="Times New Roman" w:hAnsi="Times New Roman" w:cs="Times New Roman"/>
          <w:i/>
          <w:sz w:val="20"/>
        </w:rPr>
        <w:t>level and quality of teaching that can be mastered by a student of average (or even below average) abilities, aspirations and motivation in the given time</w:t>
      </w:r>
      <w:r>
        <w:rPr>
          <w:rFonts w:ascii="Times New Roman" w:eastAsia="Times New Roman" w:hAnsi="Times New Roman" w:cs="Times New Roman"/>
          <w:sz w:val="20"/>
        </w:rPr>
        <w:t>.</w:t>
      </w:r>
    </w:p>
    <w:p w14:paraId="4AC42671" w14:textId="77777777" w:rsidR="00E83E7D" w:rsidRDefault="00000000">
      <w:pPr>
        <w:ind w:firstLine="284"/>
        <w:jc w:val="both"/>
      </w:pPr>
      <w:r>
        <w:rPr>
          <w:rFonts w:ascii="Times New Roman" w:eastAsia="Times New Roman" w:hAnsi="Times New Roman" w:cs="Times New Roman"/>
          <w:sz w:val="20"/>
        </w:rPr>
        <w:t xml:space="preserve">5. With the tendency of "massification and inclusiveness of higher education", we are also faced with an </w:t>
      </w:r>
      <w:r>
        <w:rPr>
          <w:rFonts w:ascii="Times New Roman" w:eastAsia="Times New Roman" w:hAnsi="Times New Roman" w:cs="Times New Roman"/>
          <w:i/>
          <w:sz w:val="20"/>
        </w:rPr>
        <w:t>increase in the cultural and value diversity of the student population</w:t>
      </w:r>
      <w:r>
        <w:rPr>
          <w:rFonts w:ascii="Times New Roman" w:eastAsia="Times New Roman" w:hAnsi="Times New Roman" w:cs="Times New Roman"/>
          <w:sz w:val="20"/>
        </w:rPr>
        <w:t xml:space="preserve">, because the diversity of value orientations of the population as a whole is mirrored in the student population. The inclusion of a diverse student population in higher education in terms of aspirations, motivations, abilities, value orientations opens the </w:t>
      </w:r>
      <w:r>
        <w:rPr>
          <w:rFonts w:ascii="Times New Roman" w:eastAsia="Times New Roman" w:hAnsi="Times New Roman" w:cs="Times New Roman"/>
          <w:i/>
          <w:sz w:val="20"/>
        </w:rPr>
        <w:t>issue of teaching methodology in higher education</w:t>
      </w:r>
      <w:r>
        <w:rPr>
          <w:rFonts w:ascii="Times New Roman" w:eastAsia="Times New Roman" w:hAnsi="Times New Roman" w:cs="Times New Roman"/>
          <w:sz w:val="20"/>
        </w:rPr>
        <w:t>, which is already open at lower levels of education: individualization of teaching contents and learning methods, and the problem of teaching value-sensitive teaching contents.</w:t>
      </w:r>
    </w:p>
    <w:p w14:paraId="62038E92" w14:textId="77777777" w:rsidR="00E83E7D" w:rsidRDefault="00000000">
      <w:pPr>
        <w:ind w:firstLine="284"/>
        <w:jc w:val="both"/>
      </w:pPr>
      <w:r>
        <w:rPr>
          <w:rFonts w:ascii="Times New Roman" w:eastAsia="Times New Roman" w:hAnsi="Times New Roman" w:cs="Times New Roman"/>
          <w:sz w:val="20"/>
        </w:rPr>
        <w:t xml:space="preserve">In this text, we have not offered solutions to these problems (some of the solutions have been developed elsewhere (Đorić, 2015; Đorić, 2011), but we have formulated evaluation criteria for alternative solutions that can be conceived in the debates. implement those public policies in higher education that to the greatest extent enable the education of a large number of highly educated experts whose qualifications (learning outcomes) best match the </w:t>
      </w:r>
      <w:r>
        <w:rPr>
          <w:rFonts w:ascii="Times New Roman" w:eastAsia="Times New Roman" w:hAnsi="Times New Roman" w:cs="Times New Roman"/>
          <w:i/>
          <w:sz w:val="20"/>
        </w:rPr>
        <w:t>mass demand in the developed, free and open professional labor market.</w:t>
      </w:r>
      <w:r>
        <w:rPr>
          <w:rFonts w:ascii="Times New Roman" w:eastAsia="Times New Roman" w:hAnsi="Times New Roman" w:cs="Times New Roman"/>
          <w:sz w:val="20"/>
        </w:rPr>
        <w:t xml:space="preserve"> We emphasized that the mass demand for experts in the free market of professional work is a necessary precondition for the evaluation of public policies in the field of higher education, because only under this assumption can a connection be established between quality teaching, success in studies, allocation to professional positions and efficient and quality performance of work.</w:t>
      </w:r>
    </w:p>
    <w:p w14:paraId="3D8168DB" w14:textId="77777777" w:rsidR="00E83E7D" w:rsidRDefault="00000000">
      <w:pPr>
        <w:ind w:firstLine="284"/>
        <w:jc w:val="both"/>
      </w:pPr>
      <w:r>
        <w:rPr>
          <w:rFonts w:ascii="Times New Roman" w:eastAsia="Times New Roman" w:hAnsi="Times New Roman" w:cs="Times New Roman"/>
          <w:sz w:val="20"/>
        </w:rPr>
        <w:t>Otherwise, any public policy in the field of higher education is a blind shot.</w:t>
      </w:r>
    </w:p>
    <w:p w14:paraId="28A07007" w14:textId="77777777" w:rsidR="00E83E7D" w:rsidRDefault="00000000">
      <w:pPr>
        <w:spacing w:before="480" w:after="120"/>
        <w:jc w:val="center"/>
      </w:pPr>
      <w:r>
        <w:rPr>
          <w:rFonts w:ascii="Times New Roman" w:eastAsia="Times New Roman" w:hAnsi="Times New Roman" w:cs="Times New Roman"/>
          <w:smallCaps/>
          <w:sz w:val="20"/>
        </w:rPr>
        <w:t>References</w:t>
      </w:r>
    </w:p>
    <w:p w14:paraId="2DF6878C" w14:textId="77777777" w:rsidR="00E83E7D" w:rsidRDefault="00000000">
      <w:pPr>
        <w:ind w:left="284" w:hanging="284"/>
        <w:jc w:val="both"/>
      </w:pPr>
      <w:r>
        <w:rPr>
          <w:rFonts w:ascii="Times New Roman" w:eastAsia="Times New Roman" w:hAnsi="Times New Roman" w:cs="Times New Roman"/>
          <w:i/>
          <w:sz w:val="16"/>
        </w:rPr>
        <w:t>Anketa o radnoj snazi u Republici Srbiji</w:t>
      </w:r>
      <w:r>
        <w:rPr>
          <w:rFonts w:ascii="Times New Roman" w:eastAsia="Times New Roman" w:hAnsi="Times New Roman" w:cs="Times New Roman"/>
          <w:sz w:val="16"/>
        </w:rPr>
        <w:t>, 2019 Bilten. Republički zavod za statistiku, Beograd, 2020.</w:t>
      </w:r>
    </w:p>
    <w:p w14:paraId="65BAD8E1" w14:textId="77777777" w:rsidR="00E83E7D" w:rsidRDefault="00000000">
      <w:pPr>
        <w:ind w:left="284" w:hanging="284"/>
        <w:jc w:val="both"/>
      </w:pPr>
      <w:r>
        <w:rPr>
          <w:rFonts w:ascii="Times New Roman" w:eastAsia="Times New Roman" w:hAnsi="Times New Roman" w:cs="Times New Roman"/>
          <w:sz w:val="16"/>
        </w:rPr>
        <w:t xml:space="preserve">Bojović, Ž., Maksimović, J. (2013): „Antiegalitaristički pristup obrazovanju studenata“, u: Zbornik radova </w:t>
      </w:r>
      <w:r>
        <w:rPr>
          <w:rFonts w:ascii="Times New Roman" w:eastAsia="Times New Roman" w:hAnsi="Times New Roman" w:cs="Times New Roman"/>
          <w:i/>
          <w:sz w:val="16"/>
        </w:rPr>
        <w:t>Nauka i savremeni univerzitet 2: Humanizacija univerziteta</w:t>
      </w:r>
      <w:r>
        <w:rPr>
          <w:rFonts w:ascii="Times New Roman" w:eastAsia="Times New Roman" w:hAnsi="Times New Roman" w:cs="Times New Roman"/>
          <w:sz w:val="16"/>
        </w:rPr>
        <w:t>, Filozofski fakultet Niš, 79-90.</w:t>
      </w:r>
    </w:p>
    <w:p w14:paraId="4C1F1378" w14:textId="77777777" w:rsidR="00E83E7D" w:rsidRDefault="00000000">
      <w:pPr>
        <w:ind w:left="284" w:hanging="284"/>
        <w:jc w:val="both"/>
      </w:pPr>
      <w:r>
        <w:rPr>
          <w:rFonts w:ascii="Times New Roman" w:eastAsia="Times New Roman" w:hAnsi="Times New Roman" w:cs="Times New Roman"/>
          <w:sz w:val="16"/>
        </w:rPr>
        <w:t xml:space="preserve">Gundogan, D. (2022): </w:t>
      </w:r>
      <w:r>
        <w:rPr>
          <w:rFonts w:ascii="Times New Roman" w:eastAsia="Times New Roman" w:hAnsi="Times New Roman" w:cs="Times New Roman"/>
          <w:i/>
          <w:sz w:val="16"/>
        </w:rPr>
        <w:t>Društveno poreklo studenata u Srbiji: Nejednakosti u pristupu i ishodu studiranja</w:t>
      </w:r>
      <w:r>
        <w:rPr>
          <w:rFonts w:ascii="Times New Roman" w:eastAsia="Times New Roman" w:hAnsi="Times New Roman" w:cs="Times New Roman"/>
          <w:sz w:val="16"/>
        </w:rPr>
        <w:t>, Univerzitet u Beogradu, Filozofski fakultet, Beograd. Doktorska disertacija.</w:t>
      </w:r>
    </w:p>
    <w:p w14:paraId="5F3AB35D" w14:textId="77777777" w:rsidR="00E83E7D" w:rsidRDefault="00000000">
      <w:pPr>
        <w:ind w:left="284" w:hanging="284"/>
        <w:jc w:val="both"/>
      </w:pPr>
      <w:r>
        <w:rPr>
          <w:rFonts w:ascii="Times New Roman" w:eastAsia="Times New Roman" w:hAnsi="Times New Roman" w:cs="Times New Roman"/>
          <w:sz w:val="16"/>
        </w:rPr>
        <w:t>Đorić, G. (2011): "Ishodi učenja", u Kultura kvaliteta: neki aspekti obezbeđenja kvaliteta u visokom obrazovanju, Univerzitet u Nišu, str. 71-95.</w:t>
      </w:r>
    </w:p>
    <w:p w14:paraId="69FFEFA4" w14:textId="77777777" w:rsidR="00E83E7D" w:rsidRDefault="00000000">
      <w:pPr>
        <w:ind w:left="284" w:hanging="284"/>
        <w:jc w:val="both"/>
      </w:pPr>
      <w:r>
        <w:rPr>
          <w:rFonts w:ascii="Times New Roman" w:eastAsia="Times New Roman" w:hAnsi="Times New Roman" w:cs="Times New Roman"/>
          <w:sz w:val="16"/>
        </w:rPr>
        <w:lastRenderedPageBreak/>
        <w:t xml:space="preserve">Đorić, G. (2015): </w:t>
      </w:r>
      <w:r>
        <w:rPr>
          <w:rFonts w:ascii="Times New Roman" w:eastAsia="Times New Roman" w:hAnsi="Times New Roman" w:cs="Times New Roman"/>
          <w:i/>
          <w:sz w:val="16"/>
        </w:rPr>
        <w:t>Socijalna dimenzija visokog obrazovanja (analize i preporuke)</w:t>
      </w:r>
      <w:r>
        <w:rPr>
          <w:rFonts w:ascii="Times New Roman" w:eastAsia="Times New Roman" w:hAnsi="Times New Roman" w:cs="Times New Roman"/>
          <w:sz w:val="16"/>
        </w:rPr>
        <w:t>, Filozofski fakultet Univerziteta u Nišu.</w:t>
      </w:r>
    </w:p>
    <w:p w14:paraId="1A996642" w14:textId="77777777" w:rsidR="00E83E7D" w:rsidRDefault="00000000">
      <w:pPr>
        <w:ind w:left="284" w:hanging="284"/>
        <w:jc w:val="both"/>
      </w:pPr>
      <w:r>
        <w:rPr>
          <w:rFonts w:ascii="Times New Roman" w:eastAsia="Times New Roman" w:hAnsi="Times New Roman" w:cs="Times New Roman"/>
          <w:i/>
          <w:sz w:val="16"/>
        </w:rPr>
        <w:t>Inkluzivno obrazovanje: Put razvoja</w:t>
      </w:r>
      <w:r>
        <w:rPr>
          <w:rFonts w:ascii="Times New Roman" w:eastAsia="Times New Roman" w:hAnsi="Times New Roman" w:cs="Times New Roman"/>
          <w:sz w:val="16"/>
        </w:rPr>
        <w:t xml:space="preserve"> (2008), Nacionalni izveštaj Republike Srbije, Beograd.</w:t>
      </w:r>
    </w:p>
    <w:p w14:paraId="09F4B93D" w14:textId="77777777" w:rsidR="00E83E7D" w:rsidRDefault="00000000">
      <w:pPr>
        <w:ind w:left="284" w:hanging="284"/>
        <w:jc w:val="both"/>
      </w:pPr>
      <w:r>
        <w:rPr>
          <w:rFonts w:ascii="Times New Roman" w:eastAsia="Times New Roman" w:hAnsi="Times New Roman" w:cs="Times New Roman"/>
          <w:sz w:val="16"/>
        </w:rPr>
        <w:t xml:space="preserve">Klašnja, S. (2020): </w:t>
      </w:r>
      <w:r>
        <w:rPr>
          <w:rFonts w:ascii="Times New Roman" w:eastAsia="Times New Roman" w:hAnsi="Times New Roman" w:cs="Times New Roman"/>
          <w:i/>
          <w:sz w:val="16"/>
        </w:rPr>
        <w:t>Osnovni pokazatelji položaja mladih u Srbiji - Komparativna analiza sa drugim evropskim zemljama i trendovi</w:t>
      </w:r>
      <w:r>
        <w:rPr>
          <w:rFonts w:ascii="Times New Roman" w:eastAsia="Times New Roman" w:hAnsi="Times New Roman" w:cs="Times New Roman"/>
          <w:sz w:val="16"/>
        </w:rPr>
        <w:t>, Ministarstvo omladine i sporta, Beograd.</w:t>
      </w:r>
    </w:p>
    <w:p w14:paraId="0C7302AD" w14:textId="77777777" w:rsidR="00E83E7D" w:rsidRDefault="00000000">
      <w:pPr>
        <w:ind w:left="284" w:hanging="284"/>
        <w:jc w:val="both"/>
      </w:pPr>
      <w:r>
        <w:rPr>
          <w:rFonts w:ascii="Times New Roman" w:eastAsia="Times New Roman" w:hAnsi="Times New Roman" w:cs="Times New Roman"/>
          <w:sz w:val="16"/>
        </w:rPr>
        <w:t xml:space="preserve">Laketa, N. (2001): „Mogući pravci promena u obrazovanju: uvažavanje našeg i stranog iskustva“, </w:t>
      </w:r>
      <w:r>
        <w:rPr>
          <w:rFonts w:ascii="Times New Roman" w:eastAsia="Times New Roman" w:hAnsi="Times New Roman" w:cs="Times New Roman"/>
          <w:i/>
          <w:sz w:val="16"/>
        </w:rPr>
        <w:t>Zbornik Instituta za pedagoška istraživanja</w:t>
      </w:r>
      <w:r>
        <w:rPr>
          <w:rFonts w:ascii="Times New Roman" w:eastAsia="Times New Roman" w:hAnsi="Times New Roman" w:cs="Times New Roman"/>
          <w:sz w:val="16"/>
        </w:rPr>
        <w:t>, 33, Institut za pedagoška istraživanja, Beograd, 70–82.</w:t>
      </w:r>
    </w:p>
    <w:p w14:paraId="333A4C17" w14:textId="77777777" w:rsidR="00E83E7D" w:rsidRDefault="00000000">
      <w:pPr>
        <w:ind w:left="284" w:hanging="284"/>
        <w:jc w:val="both"/>
      </w:pPr>
      <w:r>
        <w:rPr>
          <w:rFonts w:ascii="Times New Roman" w:eastAsia="Times New Roman" w:hAnsi="Times New Roman" w:cs="Times New Roman"/>
          <w:sz w:val="16"/>
        </w:rPr>
        <w:t xml:space="preserve">Laketa, N. (2010):  </w:t>
      </w:r>
      <w:r>
        <w:rPr>
          <w:rFonts w:ascii="Times New Roman" w:eastAsia="Times New Roman" w:hAnsi="Times New Roman" w:cs="Times New Roman"/>
          <w:i/>
          <w:sz w:val="16"/>
        </w:rPr>
        <w:t>Vaspitanje i škola</w:t>
      </w:r>
      <w:r>
        <w:rPr>
          <w:rFonts w:ascii="Times New Roman" w:eastAsia="Times New Roman" w:hAnsi="Times New Roman" w:cs="Times New Roman"/>
          <w:sz w:val="16"/>
        </w:rPr>
        <w:t>. Učiteljski fakultet, Užice.</w:t>
      </w:r>
    </w:p>
    <w:p w14:paraId="5E85CC65" w14:textId="77777777" w:rsidR="00E83E7D" w:rsidRDefault="00000000">
      <w:pPr>
        <w:ind w:left="284" w:hanging="284"/>
        <w:jc w:val="both"/>
      </w:pPr>
      <w:r>
        <w:rPr>
          <w:rFonts w:ascii="Times New Roman" w:eastAsia="Times New Roman" w:hAnsi="Times New Roman" w:cs="Times New Roman"/>
          <w:sz w:val="16"/>
        </w:rPr>
        <w:t xml:space="preserve">Nikolajević, A, Mirić, F. (2019): </w:t>
      </w:r>
      <w:r>
        <w:rPr>
          <w:rFonts w:ascii="Times New Roman" w:eastAsia="Times New Roman" w:hAnsi="Times New Roman" w:cs="Times New Roman"/>
          <w:i/>
          <w:sz w:val="16"/>
        </w:rPr>
        <w:t>Isključenost osoba sa invaliditetom iz sektora tercijarnog obrazovanja, Psihološki, medicinski i obrazovni aspekti dobrobiti pojedinaca i grupa u procesu društvene tranzicije</w:t>
      </w:r>
      <w:r>
        <w:rPr>
          <w:rFonts w:ascii="Times New Roman" w:eastAsia="Times New Roman" w:hAnsi="Times New Roman" w:cs="Times New Roman"/>
          <w:sz w:val="16"/>
        </w:rPr>
        <w:t>: zbornik radova, 231-255.</w:t>
      </w:r>
    </w:p>
    <w:p w14:paraId="4DFF27D1" w14:textId="77777777" w:rsidR="00E83E7D" w:rsidRDefault="00000000">
      <w:pPr>
        <w:ind w:left="284" w:hanging="284"/>
        <w:jc w:val="both"/>
      </w:pPr>
      <w:r>
        <w:rPr>
          <w:rFonts w:ascii="Times New Roman" w:eastAsia="Times New Roman" w:hAnsi="Times New Roman" w:cs="Times New Roman"/>
          <w:sz w:val="16"/>
        </w:rPr>
        <w:t xml:space="preserve">Popović, N., Đorić, G. (2011): „Od uzgajališta za elitu do masovne proizvodnje visoko obrazovanih stručnjaka“, u </w:t>
      </w:r>
      <w:r>
        <w:rPr>
          <w:rFonts w:ascii="Times New Roman" w:eastAsia="Times New Roman" w:hAnsi="Times New Roman" w:cs="Times New Roman"/>
          <w:i/>
          <w:sz w:val="16"/>
        </w:rPr>
        <w:t>Nacionalni interes</w:t>
      </w:r>
      <w:r>
        <w:rPr>
          <w:rFonts w:ascii="Times New Roman" w:eastAsia="Times New Roman" w:hAnsi="Times New Roman" w:cs="Times New Roman"/>
          <w:sz w:val="16"/>
        </w:rPr>
        <w:t>, Godina VII, vol. 12, Broj 3/2011, 301–325.</w:t>
      </w:r>
    </w:p>
    <w:p w14:paraId="50A750B2" w14:textId="77777777" w:rsidR="00E83E7D" w:rsidRDefault="00000000">
      <w:pPr>
        <w:ind w:left="284" w:hanging="284"/>
        <w:jc w:val="both"/>
      </w:pPr>
      <w:r>
        <w:rPr>
          <w:rFonts w:ascii="Times New Roman" w:eastAsia="Times New Roman" w:hAnsi="Times New Roman" w:cs="Times New Roman"/>
          <w:sz w:val="16"/>
        </w:rPr>
        <w:t xml:space="preserve">Popović, N. (2015): </w:t>
      </w:r>
      <w:r>
        <w:rPr>
          <w:rFonts w:ascii="Times New Roman" w:eastAsia="Times New Roman" w:hAnsi="Times New Roman" w:cs="Times New Roman"/>
          <w:i/>
          <w:sz w:val="16"/>
        </w:rPr>
        <w:t>Socijalna dimenzija visokog obrazovanja u Srbiji</w:t>
      </w:r>
      <w:r>
        <w:rPr>
          <w:rFonts w:ascii="Times New Roman" w:eastAsia="Times New Roman" w:hAnsi="Times New Roman" w:cs="Times New Roman"/>
          <w:sz w:val="16"/>
        </w:rPr>
        <w:t xml:space="preserve"> (studija zatečenog stanja), Filozofski fakultet, Niš.</w:t>
      </w:r>
    </w:p>
    <w:p w14:paraId="3DCF995A" w14:textId="77777777" w:rsidR="00E83E7D" w:rsidRDefault="00000000">
      <w:pPr>
        <w:ind w:left="284" w:hanging="284"/>
        <w:jc w:val="both"/>
      </w:pPr>
      <w:r>
        <w:rPr>
          <w:rFonts w:ascii="Times New Roman" w:eastAsia="Times New Roman" w:hAnsi="Times New Roman" w:cs="Times New Roman"/>
          <w:i/>
          <w:sz w:val="16"/>
        </w:rPr>
        <w:t>Popisa stanovništva Srbije 2021</w:t>
      </w:r>
      <w:r>
        <w:rPr>
          <w:rFonts w:ascii="Times New Roman" w:eastAsia="Times New Roman" w:hAnsi="Times New Roman" w:cs="Times New Roman"/>
          <w:sz w:val="16"/>
        </w:rPr>
        <w:t xml:space="preserve">. godine, Republički zavod za statistiku, Beograd, </w:t>
      </w:r>
      <w:hyperlink r:id="rId7" w:history="1">
        <w:r>
          <w:rPr>
            <w:rFonts w:ascii="Times New Roman" w:eastAsia="Times New Roman" w:hAnsi="Times New Roman" w:cs="Times New Roman"/>
            <w:color w:val="0000FF"/>
            <w:sz w:val="16"/>
            <w:u w:val="single"/>
          </w:rPr>
          <w:t>https://popis2022.stat.gov.rs/</w:t>
        </w:r>
      </w:hyperlink>
      <w:r>
        <w:rPr>
          <w:rFonts w:ascii="Times New Roman" w:eastAsia="Times New Roman" w:hAnsi="Times New Roman" w:cs="Times New Roman"/>
          <w:sz w:val="16"/>
        </w:rPr>
        <w:t>.</w:t>
      </w:r>
    </w:p>
    <w:p w14:paraId="603ADF9E" w14:textId="77777777" w:rsidR="00E83E7D" w:rsidRDefault="00000000">
      <w:pPr>
        <w:ind w:left="284" w:hanging="284"/>
        <w:jc w:val="both"/>
      </w:pPr>
      <w:r>
        <w:rPr>
          <w:rFonts w:ascii="Times New Roman" w:eastAsia="Times New Roman" w:hAnsi="Times New Roman" w:cs="Times New Roman"/>
          <w:sz w:val="16"/>
        </w:rPr>
        <w:t xml:space="preserve">Savić, M., Živadinović, I. (2016). </w:t>
      </w:r>
      <w:r>
        <w:rPr>
          <w:rFonts w:ascii="Times New Roman" w:eastAsia="Times New Roman" w:hAnsi="Times New Roman" w:cs="Times New Roman"/>
          <w:i/>
          <w:sz w:val="16"/>
        </w:rPr>
        <w:t>Social Dimension of studying in Serbia Eurostudent V Report for the Republic of Serbia</w:t>
      </w:r>
      <w:r>
        <w:rPr>
          <w:rFonts w:ascii="Times New Roman" w:eastAsia="Times New Roman" w:hAnsi="Times New Roman" w:cs="Times New Roman"/>
          <w:sz w:val="16"/>
        </w:rPr>
        <w:t>. Belgrade: University of Belgrade.</w:t>
      </w:r>
    </w:p>
    <w:p w14:paraId="4DA1AD01" w14:textId="77777777" w:rsidR="00E83E7D" w:rsidRDefault="00000000">
      <w:pPr>
        <w:ind w:left="284" w:hanging="284"/>
        <w:jc w:val="both"/>
      </w:pPr>
      <w:r>
        <w:rPr>
          <w:rFonts w:ascii="Times New Roman" w:eastAsia="Times New Roman" w:hAnsi="Times New Roman" w:cs="Times New Roman"/>
          <w:i/>
          <w:sz w:val="16"/>
        </w:rPr>
        <w:t>Strategija razvoja obrazovanja u Srbiji do 2020. godine</w:t>
      </w:r>
      <w:r>
        <w:rPr>
          <w:rFonts w:ascii="Times New Roman" w:eastAsia="Times New Roman" w:hAnsi="Times New Roman" w:cs="Times New Roman"/>
          <w:sz w:val="16"/>
        </w:rPr>
        <w:t>, Nacrt za diskusiju, Vlada Republike Srbije, Ministarstvo prosvete i nauke, Beograd.</w:t>
      </w:r>
    </w:p>
    <w:p w14:paraId="4E76DBD3" w14:textId="77777777" w:rsidR="00E83E7D" w:rsidRDefault="00000000">
      <w:pPr>
        <w:ind w:left="284" w:hanging="284"/>
        <w:jc w:val="both"/>
      </w:pPr>
      <w:r>
        <w:rPr>
          <w:rFonts w:ascii="Times New Roman" w:eastAsia="Times New Roman" w:hAnsi="Times New Roman" w:cs="Times New Roman"/>
          <w:sz w:val="16"/>
        </w:rPr>
        <w:t xml:space="preserve">Thomas, L., Quinn, Ј. (2003): </w:t>
      </w:r>
      <w:r>
        <w:rPr>
          <w:rFonts w:ascii="Times New Roman" w:eastAsia="Times New Roman" w:hAnsi="Times New Roman" w:cs="Times New Roman"/>
          <w:i/>
          <w:sz w:val="16"/>
        </w:rPr>
        <w:t>International Insights into Widening Participation: supporting the success of under-represented groups in tertiary education</w:t>
      </w:r>
      <w:r>
        <w:rPr>
          <w:rFonts w:ascii="Times New Roman" w:eastAsia="Times New Roman" w:hAnsi="Times New Roman" w:cs="Times New Roman"/>
          <w:sz w:val="16"/>
        </w:rPr>
        <w:t>, Final Report.</w:t>
      </w:r>
    </w:p>
    <w:p w14:paraId="40DC0D09" w14:textId="77777777" w:rsidR="00E83E7D" w:rsidRDefault="00000000">
      <w:pPr>
        <w:ind w:left="284" w:hanging="284"/>
        <w:jc w:val="both"/>
      </w:pPr>
      <w:r>
        <w:rPr>
          <w:rFonts w:ascii="Times New Roman" w:eastAsia="Times New Roman" w:hAnsi="Times New Roman" w:cs="Times New Roman"/>
          <w:sz w:val="16"/>
        </w:rPr>
        <w:t xml:space="preserve">Hannum, Е., Buchmann, C. (2005): “Global Educational Expansion and Socio-Economic Development: An Assessment of Findings from the Social Sciences”, </w:t>
      </w:r>
      <w:r>
        <w:rPr>
          <w:rFonts w:ascii="Times New Roman" w:eastAsia="Times New Roman" w:hAnsi="Times New Roman" w:cs="Times New Roman"/>
          <w:i/>
          <w:sz w:val="16"/>
        </w:rPr>
        <w:t>World Development</w:t>
      </w:r>
      <w:r>
        <w:rPr>
          <w:rFonts w:ascii="Times New Roman" w:eastAsia="Times New Roman" w:hAnsi="Times New Roman" w:cs="Times New Roman"/>
          <w:sz w:val="16"/>
        </w:rPr>
        <w:t>, Volume 33, Issue 3, March 2005.</w:t>
      </w:r>
    </w:p>
    <w:p w14:paraId="54ECF4E0" w14:textId="77777777" w:rsidR="00E83E7D" w:rsidRDefault="00E83E7D">
      <w:pPr>
        <w:ind w:left="720"/>
        <w:jc w:val="both"/>
      </w:pPr>
    </w:p>
    <w:p w14:paraId="217B10B7" w14:textId="77777777" w:rsidR="00E83E7D" w:rsidRDefault="00E83E7D">
      <w:pPr>
        <w:ind w:left="720"/>
        <w:jc w:val="both"/>
      </w:pPr>
    </w:p>
    <w:p w14:paraId="093D0012" w14:textId="77777777" w:rsidR="00E83E7D" w:rsidRDefault="00000000">
      <w:pPr>
        <w:ind w:left="284" w:hanging="284"/>
        <w:jc w:val="both"/>
      </w:pPr>
      <w:r>
        <w:rPr>
          <w:rFonts w:ascii="Times New Roman" w:eastAsia="Times New Roman" w:hAnsi="Times New Roman" w:cs="Times New Roman"/>
          <w:sz w:val="16"/>
        </w:rPr>
        <w:t>Veb portal:</w:t>
      </w:r>
    </w:p>
    <w:p w14:paraId="04385FE0" w14:textId="77777777" w:rsidR="00E83E7D" w:rsidRDefault="00E83E7D">
      <w:pPr>
        <w:ind w:left="284" w:hanging="284"/>
        <w:jc w:val="both"/>
      </w:pPr>
    </w:p>
    <w:p w14:paraId="01C2C3BC" w14:textId="77777777" w:rsidR="00E83E7D" w:rsidRDefault="00000000">
      <w:pPr>
        <w:ind w:left="284" w:hanging="284"/>
        <w:jc w:val="both"/>
      </w:pPr>
      <w:r>
        <w:rPr>
          <w:rFonts w:ascii="Symbol" w:eastAsia="Symbol" w:hAnsi="Symbol" w:cs="Symbol"/>
          <w:sz w:val="16"/>
        </w:rPr>
        <w:t></w:t>
      </w:r>
      <w:r>
        <w:rPr>
          <w:rFonts w:ascii="Times New Roman" w:eastAsia="Times New Roman" w:hAnsi="Times New Roman" w:cs="Times New Roman"/>
          <w:sz w:val="16"/>
        </w:rPr>
        <w:t>1</w:t>
      </w:r>
      <w:r>
        <w:rPr>
          <w:rFonts w:ascii="Symbol" w:eastAsia="Symbol" w:hAnsi="Symbol" w:cs="Symbol"/>
          <w:sz w:val="16"/>
        </w:rPr>
        <w:t></w:t>
      </w:r>
      <w:r>
        <w:rPr>
          <w:rFonts w:ascii="Times New Roman" w:eastAsia="Times New Roman" w:hAnsi="Times New Roman" w:cs="Times New Roman"/>
          <w:sz w:val="16"/>
        </w:rPr>
        <w:t xml:space="preserve"> - </w:t>
      </w:r>
      <w:hyperlink r:id="rId8" w:history="1">
        <w:r>
          <w:rPr>
            <w:rFonts w:ascii="Times New Roman" w:eastAsia="Times New Roman" w:hAnsi="Times New Roman" w:cs="Times New Roman"/>
            <w:color w:val="0000FF"/>
            <w:sz w:val="16"/>
            <w:u w:val="single"/>
          </w:rPr>
          <w:t>http://www.euractiv.rs/vesti/179-ljudska-prava/4405-u-srbiji-nema-jednakog-pristupa-visokom-obrazova</w:t>
        </w:r>
      </w:hyperlink>
      <w:r>
        <w:rPr>
          <w:rFonts w:ascii="Times New Roman" w:eastAsia="Times New Roman" w:hAnsi="Times New Roman" w:cs="Times New Roman"/>
          <w:sz w:val="16"/>
        </w:rPr>
        <w:t xml:space="preserve"> nju. html (Izvor: Beta: poslednja poseta: 11.5. 2015., 17:34).</w:t>
      </w:r>
    </w:p>
    <w:p w14:paraId="27DBAEFB" w14:textId="77777777" w:rsidR="00E83E7D" w:rsidRDefault="00000000">
      <w:pPr>
        <w:ind w:left="284" w:hanging="284"/>
        <w:jc w:val="both"/>
      </w:pPr>
      <w:r>
        <w:rPr>
          <w:rFonts w:ascii="Symbol" w:eastAsia="Symbol" w:hAnsi="Symbol" w:cs="Symbol"/>
          <w:sz w:val="16"/>
        </w:rPr>
        <w:t></w:t>
      </w:r>
      <w:r>
        <w:rPr>
          <w:rFonts w:ascii="Times New Roman" w:eastAsia="Times New Roman" w:hAnsi="Times New Roman" w:cs="Times New Roman"/>
          <w:sz w:val="16"/>
        </w:rPr>
        <w:t>2</w:t>
      </w:r>
      <w:r>
        <w:rPr>
          <w:rFonts w:ascii="Symbol" w:eastAsia="Symbol" w:hAnsi="Symbol" w:cs="Symbol"/>
          <w:sz w:val="16"/>
        </w:rPr>
        <w:t></w:t>
      </w:r>
      <w:r>
        <w:rPr>
          <w:rFonts w:ascii="Times New Roman" w:eastAsia="Times New Roman" w:hAnsi="Times New Roman" w:cs="Times New Roman"/>
          <w:sz w:val="16"/>
        </w:rPr>
        <w:t xml:space="preserve"> - </w:t>
      </w:r>
      <w:hyperlink r:id="rId9" w:history="1">
        <w:r>
          <w:rPr>
            <w:rFonts w:ascii="Times New Roman" w:eastAsia="Times New Roman" w:hAnsi="Times New Roman" w:cs="Times New Roman"/>
            <w:color w:val="0000FF"/>
            <w:sz w:val="16"/>
            <w:u w:val="single"/>
          </w:rPr>
          <w:t>http://www.iro.hr/userdocs/File/pno_kolumna/foi_1dio.pdf</w:t>
        </w:r>
      </w:hyperlink>
      <w:r>
        <w:rPr>
          <w:rFonts w:ascii="Times New Roman" w:eastAsia="Times New Roman" w:hAnsi="Times New Roman" w:cs="Times New Roman"/>
          <w:sz w:val="16"/>
        </w:rPr>
        <w:t xml:space="preserve"> (Izvor: Divljak, Horvatek,   Vidaček-Hainš, 2008: poslednja poseta 12. 5. 2015: 13:07).</w:t>
      </w:r>
    </w:p>
    <w:p w14:paraId="31D4A90E" w14:textId="77777777" w:rsidR="00E83E7D" w:rsidRDefault="00000000">
      <w:pPr>
        <w:ind w:left="284" w:hanging="284"/>
        <w:jc w:val="both"/>
      </w:pPr>
      <w:r>
        <w:rPr>
          <w:rFonts w:ascii="Symbol" w:eastAsia="Symbol" w:hAnsi="Symbol" w:cs="Symbol"/>
          <w:sz w:val="16"/>
        </w:rPr>
        <w:t></w:t>
      </w:r>
      <w:r>
        <w:rPr>
          <w:rFonts w:ascii="Times New Roman" w:eastAsia="Times New Roman" w:hAnsi="Times New Roman" w:cs="Times New Roman"/>
          <w:sz w:val="16"/>
        </w:rPr>
        <w:t>3</w:t>
      </w:r>
      <w:r>
        <w:rPr>
          <w:rFonts w:ascii="Symbol" w:eastAsia="Symbol" w:hAnsi="Symbol" w:cs="Symbol"/>
          <w:sz w:val="16"/>
        </w:rPr>
        <w:t></w:t>
      </w:r>
      <w:r>
        <w:rPr>
          <w:rFonts w:ascii="Times New Roman" w:eastAsia="Times New Roman" w:hAnsi="Times New Roman" w:cs="Times New Roman"/>
          <w:sz w:val="16"/>
        </w:rPr>
        <w:t xml:space="preserve"> - Treaty of Lisbon - </w:t>
      </w:r>
      <w:hyperlink r:id="rId10" w:history="1">
        <w:r>
          <w:rPr>
            <w:rFonts w:ascii="Times New Roman" w:eastAsia="Times New Roman" w:hAnsi="Times New Roman" w:cs="Times New Roman"/>
            <w:color w:val="0000FF"/>
            <w:sz w:val="16"/>
            <w:u w:val="single"/>
          </w:rPr>
          <w:t>http://europa.eu/lisbon_treaty/index_en.htm</w:t>
        </w:r>
      </w:hyperlink>
      <w:r>
        <w:rPr>
          <w:rFonts w:ascii="Times New Roman" w:eastAsia="Times New Roman" w:hAnsi="Times New Roman" w:cs="Times New Roman"/>
          <w:sz w:val="16"/>
        </w:rPr>
        <w:t xml:space="preserve"> (Izvor: Divljak, Horvatek, Vidaček-Hainš, 2008: poslednja poseta 12. 5. 2015: 13:07).</w:t>
      </w:r>
    </w:p>
    <w:p w14:paraId="46664EB5" w14:textId="77777777" w:rsidR="00E83E7D" w:rsidRDefault="00000000">
      <w:pPr>
        <w:ind w:left="284" w:hanging="284"/>
        <w:jc w:val="both"/>
      </w:pPr>
      <w:r>
        <w:rPr>
          <w:rFonts w:ascii="Symbol" w:eastAsia="Symbol" w:hAnsi="Symbol" w:cs="Symbol"/>
          <w:sz w:val="16"/>
        </w:rPr>
        <w:t></w:t>
      </w:r>
      <w:r>
        <w:rPr>
          <w:rFonts w:ascii="Times New Roman" w:eastAsia="Times New Roman" w:hAnsi="Times New Roman" w:cs="Times New Roman"/>
          <w:sz w:val="16"/>
        </w:rPr>
        <w:t>4</w:t>
      </w:r>
      <w:r>
        <w:rPr>
          <w:rFonts w:ascii="Symbol" w:eastAsia="Symbol" w:hAnsi="Symbol" w:cs="Symbol"/>
          <w:sz w:val="16"/>
        </w:rPr>
        <w:t></w:t>
      </w:r>
      <w:r>
        <w:rPr>
          <w:rFonts w:ascii="Times New Roman" w:eastAsia="Times New Roman" w:hAnsi="Times New Roman" w:cs="Times New Roman"/>
          <w:sz w:val="16"/>
        </w:rPr>
        <w:t xml:space="preserve"> - </w:t>
      </w:r>
      <w:hyperlink r:id="rId11" w:history="1">
        <w:r>
          <w:rPr>
            <w:rFonts w:ascii="Times New Roman" w:eastAsia="Times New Roman" w:hAnsi="Times New Roman" w:cs="Times New Roman"/>
            <w:color w:val="0000FF"/>
            <w:sz w:val="16"/>
            <w:u w:val="single"/>
          </w:rPr>
          <w:t>http://www.mp.gov.rs/page.php?page=165</w:t>
        </w:r>
      </w:hyperlink>
      <w:r>
        <w:rPr>
          <w:rFonts w:ascii="Times New Roman" w:eastAsia="Times New Roman" w:hAnsi="Times New Roman" w:cs="Times New Roman"/>
          <w:sz w:val="16"/>
        </w:rPr>
        <w:t xml:space="preserve"> (Dostupnost obrazovanja i inkluzija dece iz osetljivih grupa – poslednja poseta 16. 5. 2015: 12:21).</w:t>
      </w:r>
    </w:p>
    <w:p w14:paraId="5DE660AD" w14:textId="77777777" w:rsidR="00E83E7D" w:rsidRDefault="00E83E7D">
      <w:pPr>
        <w:ind w:left="284" w:hanging="284"/>
        <w:jc w:val="both"/>
      </w:pPr>
    </w:p>
    <w:p w14:paraId="6A17AE67" w14:textId="77777777" w:rsidR="00E83E7D" w:rsidRDefault="00E83E7D">
      <w:pPr>
        <w:ind w:left="284" w:hanging="284"/>
        <w:jc w:val="both"/>
      </w:pPr>
    </w:p>
    <w:p w14:paraId="298A924A" w14:textId="77777777" w:rsidR="00E83E7D" w:rsidRDefault="00000000">
      <w:pPr>
        <w:spacing w:before="120"/>
        <w:jc w:val="center"/>
      </w:pPr>
      <w:r>
        <w:rPr>
          <w:rFonts w:ascii="Times New Roman" w:eastAsia="Times New Roman" w:hAnsi="Times New Roman" w:cs="Times New Roman"/>
          <w:b/>
          <w:caps/>
          <w:sz w:val="24"/>
        </w:rPr>
        <w:t>izazovi VISOKOG OBRAZOVANJA U SRBIJI</w:t>
      </w:r>
    </w:p>
    <w:p w14:paraId="441AF7CD" w14:textId="77777777" w:rsidR="00E83E7D" w:rsidRDefault="00000000">
      <w:pPr>
        <w:jc w:val="center"/>
      </w:pPr>
      <w:r>
        <w:rPr>
          <w:rFonts w:ascii="Times New Roman" w:eastAsia="Times New Roman" w:hAnsi="Times New Roman" w:cs="Times New Roman"/>
          <w:b/>
          <w:sz w:val="24"/>
        </w:rPr>
        <w:t>Prilog javnoj raspravi o reformi visokog obrazovanja</w:t>
      </w:r>
    </w:p>
    <w:p w14:paraId="59A141EC" w14:textId="77777777" w:rsidR="00E83E7D" w:rsidRDefault="00E83E7D">
      <w:pPr>
        <w:spacing w:before="120"/>
        <w:ind w:firstLine="284"/>
        <w:jc w:val="both"/>
      </w:pPr>
    </w:p>
    <w:p w14:paraId="1A6ADB65" w14:textId="77777777" w:rsidR="00E83E7D" w:rsidRDefault="00000000">
      <w:pPr>
        <w:ind w:left="425" w:right="425"/>
        <w:jc w:val="both"/>
      </w:pPr>
      <w:r>
        <w:rPr>
          <w:rFonts w:ascii="Times New Roman" w:eastAsia="Times New Roman" w:hAnsi="Times New Roman" w:cs="Times New Roman"/>
          <w:b/>
          <w:sz w:val="18"/>
        </w:rPr>
        <w:t>Abstrakt:</w:t>
      </w:r>
      <w:r>
        <w:rPr>
          <w:rFonts w:ascii="Times New Roman" w:eastAsia="Times New Roman" w:hAnsi="Times New Roman" w:cs="Times New Roman"/>
          <w:i/>
          <w:sz w:val="18"/>
        </w:rPr>
        <w:t xml:space="preserve"> Visoko obrazovanje je, kao oblast od velikog javnog interesa, predmet niza državnih akcija, zakona i alokacije finansijskih resursa.  Reforma/e u oblasti visokog obrazovanja pretpostavljaju da smo identifikovali probleme u visokom obrazovanju i da imamo kriterijume na osnovu kojih ćemo evaluirati reformska rešenja i opredeliti se za ono/a koji te kriterijume najbolje zadovoljavaju. Namera ovog teksta je da doprinese identifikaciji i razumevanju nekih od problema kojima bi javne politike u oblasti visokog obrazovanja trebalo da se pozabave i da ponudi kriterijum za evaluaciju ponuđenih rešenja. Kao osnovne probleme visokog obrazovanja (u Srbiji) identifikovali smo - masovnost i zahtev za kontrolom kvaliteta koji proizlazi iz potrebe standardizacije svake "serijske" proizvodnje, potrebu za proširenjem obuhvata podzastupljenim društvenim grupama, potrebu za finansijskom i drugom podrškom podzastupljenim društvenim </w:t>
      </w:r>
      <w:r>
        <w:rPr>
          <w:rFonts w:ascii="Times New Roman" w:eastAsia="Times New Roman" w:hAnsi="Times New Roman" w:cs="Times New Roman"/>
          <w:i/>
          <w:sz w:val="18"/>
        </w:rPr>
        <w:lastRenderedPageBreak/>
        <w:t>grupama, koje proizlaze iz kombinacije masovnosti i inkluzivnosti visokog obrazovanja, povećanje raznorodnosti studentske populacije u pogledu sposobnosti, aspiracija, motivacije i vrednosnih orijentacija, i potrebu za inovacijama u metodici nastave u visokom obrazovanju, koja iz toga proizlazi.</w:t>
      </w:r>
    </w:p>
    <w:p w14:paraId="106F714F" w14:textId="77777777" w:rsidR="00E83E7D" w:rsidRDefault="00000000">
      <w:pPr>
        <w:spacing w:before="120"/>
        <w:ind w:left="425" w:right="425"/>
        <w:jc w:val="both"/>
      </w:pPr>
      <w:r>
        <w:rPr>
          <w:rFonts w:ascii="Times New Roman" w:eastAsia="Times New Roman" w:hAnsi="Times New Roman" w:cs="Times New Roman"/>
          <w:b/>
          <w:sz w:val="18"/>
        </w:rPr>
        <w:t>Ključne reči</w:t>
      </w:r>
      <w:r>
        <w:rPr>
          <w:rFonts w:ascii="Times New Roman" w:eastAsia="Times New Roman" w:hAnsi="Times New Roman" w:cs="Times New Roman"/>
          <w:sz w:val="18"/>
        </w:rPr>
        <w:t>:</w:t>
      </w:r>
      <w:r>
        <w:rPr>
          <w:rFonts w:ascii="Times New Roman" w:eastAsia="Times New Roman" w:hAnsi="Times New Roman" w:cs="Times New Roman"/>
          <w:i/>
          <w:sz w:val="18"/>
        </w:rPr>
        <w:t xml:space="preserve"> javne politike, reforma, visoko obrazovanje, inkluzivno visoko obrazovanje, kontrola kvaliteta visokog obrazovanja, evaluacija.</w:t>
      </w:r>
    </w:p>
    <w:p w14:paraId="1E5A9F58" w14:textId="77777777" w:rsidR="00E83E7D" w:rsidRDefault="00000000">
      <w:pPr>
        <w:spacing w:before="120"/>
        <w:jc w:val="both"/>
      </w:pPr>
      <w:r>
        <w:rPr>
          <w:rFonts w:ascii="Times New Roman" w:eastAsia="Times New Roman" w:hAnsi="Times New Roman" w:cs="Times New Roman"/>
          <w:i/>
          <w:sz w:val="18"/>
        </w:rPr>
        <w:t xml:space="preserve"> </w:t>
      </w:r>
    </w:p>
    <w:sectPr w:rsidR="00E83E7D" w:rsidSect="00D403A9">
      <w:headerReference w:type="first" r:id="rId12"/>
      <w:pgSz w:w="11907" w:h="16840" w:code="9"/>
      <w:pgMar w:top="2693" w:right="2353" w:bottom="3260" w:left="2353" w:header="226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126B" w14:textId="77777777" w:rsidR="003935C1" w:rsidRDefault="003935C1" w:rsidP="00D403A9">
      <w:r>
        <w:separator/>
      </w:r>
    </w:p>
  </w:endnote>
  <w:endnote w:type="continuationSeparator" w:id="0">
    <w:p w14:paraId="12723081" w14:textId="77777777" w:rsidR="003935C1" w:rsidRDefault="003935C1" w:rsidP="00D4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F0D9" w14:textId="77777777" w:rsidR="003935C1" w:rsidRDefault="003935C1" w:rsidP="00D403A9">
      <w:r>
        <w:separator/>
      </w:r>
    </w:p>
  </w:footnote>
  <w:footnote w:type="continuationSeparator" w:id="0">
    <w:p w14:paraId="0D443CC2" w14:textId="77777777" w:rsidR="003935C1" w:rsidRDefault="003935C1" w:rsidP="00D403A9">
      <w:r>
        <w:continuationSeparator/>
      </w:r>
    </w:p>
  </w:footnote>
  <w:footnote w:id="1">
    <w:p w14:paraId="44C77FAE" w14:textId="5B468479" w:rsidR="00D403A9" w:rsidRDefault="00D403A9" w:rsidP="00D403A9">
      <w:r>
        <w:rPr>
          <w:rFonts w:ascii="Times New Roman" w:eastAsia="Times New Roman" w:hAnsi="Times New Roman" w:cs="Times New Roman"/>
          <w:color w:val="000000"/>
          <w:sz w:val="16"/>
        </w:rPr>
        <w:t xml:space="preserve">Received </w:t>
      </w:r>
    </w:p>
    <w:p w14:paraId="347A04E3" w14:textId="77777777" w:rsidR="00D403A9" w:rsidRDefault="00D403A9" w:rsidP="00D403A9">
      <w:r>
        <w:rPr>
          <w:rFonts w:ascii="Times New Roman" w:eastAsia="Times New Roman" w:hAnsi="Times New Roman" w:cs="Times New Roman"/>
          <w:b/>
          <w:color w:val="000000"/>
          <w:sz w:val="16"/>
        </w:rPr>
        <w:t>Corresponding author:</w:t>
      </w:r>
      <w:r>
        <w:rPr>
          <w:rFonts w:ascii="Times New Roman" w:eastAsia="Times New Roman" w:hAnsi="Times New Roman" w:cs="Times New Roman"/>
          <w:color w:val="000000"/>
          <w:sz w:val="16"/>
        </w:rPr>
        <w:t xml:space="preserve"> Gorana Đorić</w:t>
      </w:r>
    </w:p>
    <w:p w14:paraId="481A47AA" w14:textId="77777777" w:rsidR="00D403A9" w:rsidRDefault="00D403A9" w:rsidP="00D403A9">
      <w:pPr>
        <w:jc w:val="both"/>
      </w:pPr>
      <w:r>
        <w:rPr>
          <w:rFonts w:ascii="Times New Roman" w:eastAsia="Times New Roman" w:hAnsi="Times New Roman" w:cs="Times New Roman"/>
          <w:sz w:val="16"/>
        </w:rPr>
        <w:t>Faculty of Philosophy, Ćirila i Metodija 18000 Nis, Serbia</w:t>
      </w:r>
    </w:p>
    <w:p w14:paraId="253BBB95" w14:textId="333C1E60" w:rsidR="00D403A9" w:rsidRDefault="00D403A9" w:rsidP="00D403A9">
      <w:pPr>
        <w:pStyle w:val="FootnoteText"/>
      </w:pPr>
      <w:r>
        <w:rPr>
          <w:rFonts w:ascii="Times New Roman" w:eastAsia="Times New Roman" w:hAnsi="Times New Roman" w:cs="Times New Roman"/>
          <w:color w:val="000000"/>
          <w:sz w:val="16"/>
        </w:rPr>
        <w:t>Phone: +381 60 501 315 • E-mail: gorana.djoric@filfak.ni.ac.rs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E9F8" w14:textId="77777777" w:rsidR="006838F8" w:rsidRDefault="006838F8" w:rsidP="006838F8">
    <w:pPr>
      <w:jc w:val="both"/>
    </w:pPr>
    <w:r>
      <w:rPr>
        <w:rFonts w:ascii="Times New Roman" w:eastAsia="Times New Roman" w:hAnsi="Times New Roman" w:cs="Times New Roman"/>
        <w:b/>
        <w:caps/>
        <w:sz w:val="16"/>
      </w:rPr>
      <w:t>FACTA UNIVERSITATIS</w:t>
    </w:r>
  </w:p>
  <w:p w14:paraId="1731C21D" w14:textId="77777777" w:rsidR="006838F8" w:rsidRDefault="006838F8" w:rsidP="006838F8">
    <w:pPr>
      <w:jc w:val="both"/>
    </w:pPr>
    <w:r>
      <w:rPr>
        <w:rFonts w:ascii="Times New Roman" w:eastAsia="Times New Roman" w:hAnsi="Times New Roman" w:cs="Times New Roman"/>
        <w:sz w:val="16"/>
      </w:rPr>
      <w:t>Series:</w:t>
    </w:r>
    <w:r>
      <w:rPr>
        <w:rFonts w:ascii="Times New Roman" w:eastAsia="Times New Roman" w:hAnsi="Times New Roman" w:cs="Times New Roman"/>
        <w:i/>
        <w:sz w:val="16"/>
      </w:rPr>
      <w:t xml:space="preserve"> </w:t>
    </w:r>
    <w:r>
      <w:rPr>
        <w:rFonts w:ascii="Times New Roman" w:eastAsia="Times New Roman" w:hAnsi="Times New Roman" w:cs="Times New Roman"/>
        <w:b/>
        <w:i/>
        <w:sz w:val="16"/>
      </w:rPr>
      <w:t>Teaching, Learning and Teacher Education</w:t>
    </w:r>
    <w:r>
      <w:rPr>
        <w:rFonts w:ascii="Times New Roman" w:eastAsia="Times New Roman" w:hAnsi="Times New Roman" w:cs="Times New Roman"/>
        <w:sz w:val="16"/>
      </w:rPr>
      <w:t xml:space="preserve"> </w:t>
    </w:r>
  </w:p>
  <w:p w14:paraId="1350E8B0" w14:textId="27469ECA" w:rsidR="006838F8" w:rsidRDefault="006838F8" w:rsidP="006838F8">
    <w:pPr>
      <w:jc w:val="both"/>
    </w:pPr>
    <w:r>
      <w:rPr>
        <w:rFonts w:ascii="Times New Roman" w:eastAsia="Times New Roman" w:hAnsi="Times New Roman" w:cs="Times New Roman"/>
        <w:caps/>
        <w:sz w:val="16"/>
      </w:rPr>
      <w:t>DOI: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19"/>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3E7D"/>
    <w:rsid w:val="003155C9"/>
    <w:rsid w:val="003935C1"/>
    <w:rsid w:val="006838F8"/>
    <w:rsid w:val="00881CF3"/>
    <w:rsid w:val="00D403A9"/>
    <w:rsid w:val="00E8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7D94"/>
  <w15:docId w15:val="{CB816269-8526-4F1C-B4FD-19019CFE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3A9"/>
    <w:rPr>
      <w:sz w:val="20"/>
      <w:szCs w:val="20"/>
    </w:rPr>
  </w:style>
  <w:style w:type="character" w:customStyle="1" w:styleId="FootnoteTextChar">
    <w:name w:val="Footnote Text Char"/>
    <w:basedOn w:val="DefaultParagraphFont"/>
    <w:link w:val="FootnoteText"/>
    <w:uiPriority w:val="99"/>
    <w:semiHidden/>
    <w:rsid w:val="00D403A9"/>
    <w:rPr>
      <w:sz w:val="20"/>
      <w:szCs w:val="20"/>
    </w:rPr>
  </w:style>
  <w:style w:type="character" w:styleId="FootnoteReference">
    <w:name w:val="footnote reference"/>
    <w:basedOn w:val="DefaultParagraphFont"/>
    <w:uiPriority w:val="99"/>
    <w:semiHidden/>
    <w:unhideWhenUsed/>
    <w:rsid w:val="00D403A9"/>
    <w:rPr>
      <w:vertAlign w:val="superscript"/>
    </w:rPr>
  </w:style>
  <w:style w:type="paragraph" w:styleId="Header">
    <w:name w:val="header"/>
    <w:basedOn w:val="Normal"/>
    <w:link w:val="HeaderChar"/>
    <w:uiPriority w:val="99"/>
    <w:unhideWhenUsed/>
    <w:rsid w:val="006838F8"/>
    <w:pPr>
      <w:tabs>
        <w:tab w:val="center" w:pos="4680"/>
        <w:tab w:val="right" w:pos="9360"/>
      </w:tabs>
    </w:pPr>
  </w:style>
  <w:style w:type="character" w:customStyle="1" w:styleId="HeaderChar">
    <w:name w:val="Header Char"/>
    <w:basedOn w:val="DefaultParagraphFont"/>
    <w:link w:val="Header"/>
    <w:uiPriority w:val="99"/>
    <w:rsid w:val="006838F8"/>
  </w:style>
  <w:style w:type="paragraph" w:styleId="Footer">
    <w:name w:val="footer"/>
    <w:basedOn w:val="Normal"/>
    <w:link w:val="FooterChar"/>
    <w:uiPriority w:val="99"/>
    <w:unhideWhenUsed/>
    <w:rsid w:val="006838F8"/>
    <w:pPr>
      <w:tabs>
        <w:tab w:val="center" w:pos="4680"/>
        <w:tab w:val="right" w:pos="9360"/>
      </w:tabs>
    </w:pPr>
  </w:style>
  <w:style w:type="character" w:customStyle="1" w:styleId="FooterChar">
    <w:name w:val="Footer Char"/>
    <w:basedOn w:val="DefaultParagraphFont"/>
    <w:link w:val="Footer"/>
    <w:uiPriority w:val="99"/>
    <w:rsid w:val="0068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uractiv.rs/vesti/179-ljudska-prava/4405-u-srbiji-nema-jednakog-pristupa-visokom-obraz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pis2022.stat.gov.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p.gov.rs/page.php?page=165" TargetMode="External"/><Relationship Id="rId5" Type="http://schemas.openxmlformats.org/officeDocument/2006/relationships/footnotes" Target="footnotes.xml"/><Relationship Id="rId10" Type="http://schemas.openxmlformats.org/officeDocument/2006/relationships/hyperlink" Target="http://europa.eu/lisbon_treaty/index_en.htm" TargetMode="External"/><Relationship Id="rId4" Type="http://schemas.openxmlformats.org/officeDocument/2006/relationships/webSettings" Target="webSettings.xml"/><Relationship Id="rId9" Type="http://schemas.openxmlformats.org/officeDocument/2006/relationships/hyperlink" Target="http://www.iro.hr/userdocs/File/pno_kolumna/foi_1di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B6A5-FB29-4F75-906D-99AC7852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c:creator>
  <cp:lastModifiedBy>Mile Randjelovic</cp:lastModifiedBy>
  <cp:revision>2</cp:revision>
  <dcterms:created xsi:type="dcterms:W3CDTF">2023-11-20T14:02:00Z</dcterms:created>
  <dcterms:modified xsi:type="dcterms:W3CDTF">2023-11-20T14:02:00Z</dcterms:modified>
</cp:coreProperties>
</file>